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850" w:right="850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21.08.2017 года № 416 «Об утверждении муниципальной программы «Развитие транспортной системы в Шарангском муниципальном районе Нижегородской области в 2018 – 2020 годы»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решением Земского собрания от 22.12.2017года № 57 «О районном бюджете на 2018 год и на плановый период 2019 и 2020 годы»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uppressAutoHyphens w:val="true"/>
        <w:bidi w:val="0"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416 «</w:t>
      </w:r>
      <w:r>
        <w:rPr>
          <w:bCs/>
          <w:sz w:val="28"/>
          <w:szCs w:val="24"/>
        </w:rPr>
        <w:t>Об утверждении муниципальной программы «Развитие транспортной системы в Шарангском муниципальном районе Нижегородской области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постановление).</w:t>
      </w:r>
    </w:p>
    <w:p>
      <w:pPr>
        <w:pStyle w:val="Normal"/>
        <w:suppressAutoHyphens w:val="true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uppressAutoHyphens w:val="true"/>
        <w:bidi w:val="0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программы»:</w:t>
      </w:r>
    </w:p>
    <w:p>
      <w:pPr>
        <w:pStyle w:val="Normal"/>
        <w:suppressAutoHyphens w:val="true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1.1.1. пункт 1.10.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autoSpaceDE w:val="false"/>
        <w:bidi w:val="0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«1.10. Объемы и источники финансирования программы.</w:t>
      </w:r>
    </w:p>
    <w:tbl>
      <w:tblPr>
        <w:tblW w:w="9570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15"/>
        <w:gridCol w:w="1350"/>
        <w:gridCol w:w="1185"/>
        <w:gridCol w:w="1260"/>
        <w:gridCol w:w="3060"/>
      </w:tblGrid>
      <w:tr>
        <w:trPr/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8171,5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23586,5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8171,5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23586,5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850" w:header="567" w:top="851" w:footer="0" w:bottom="6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1.1.2. пункт 1.13. изложить в следующей редакции:</w:t>
      </w:r>
    </w:p>
    <w:p>
      <w:pPr>
        <w:pStyle w:val="Normal"/>
        <w:bidi w:val="0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«1.13. Объемы и источники финансирования Программы, в том числе по Подпрограммам.</w:t>
      </w:r>
    </w:p>
    <w:p>
      <w:pPr>
        <w:pStyle w:val="Normal"/>
        <w:autoSpaceDE w:val="false"/>
        <w:bidi w:val="0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Подпрограмма 1 «Повышение безопасности дорожного движения в Шарангском муниципальном районе Нижегородской области»</w:t>
      </w:r>
    </w:p>
    <w:p>
      <w:pPr>
        <w:pStyle w:val="Normal"/>
        <w:widowControl/>
        <w:suppressAutoHyphens w:val="true"/>
        <w:autoSpaceDE w:val="false"/>
        <w:bidi w:val="0"/>
        <w:ind w:left="5046" w:right="0" w:hanging="57"/>
        <w:jc w:val="right"/>
        <w:rPr/>
      </w:pPr>
      <w:r>
        <w:rPr/>
        <w:t>тыс.руб.</w:t>
      </w:r>
    </w:p>
    <w:tbl>
      <w:tblPr>
        <w:tblW w:w="9645" w:type="dxa"/>
        <w:jc w:val="left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65"/>
        <w:gridCol w:w="4380"/>
      </w:tblGrid>
      <w:tr>
        <w:trPr/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</w:tbl>
    <w:p>
      <w:pPr>
        <w:pStyle w:val="Normal"/>
        <w:autoSpaceDE w:val="false"/>
        <w:bidi w:val="0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bidi w:val="0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Подпрограмма 2 «Ремонт и содержание автомобильных дорог общего пользования в Шарангском муниципальном районе Нижегородской области»</w:t>
      </w:r>
    </w:p>
    <w:p>
      <w:pPr>
        <w:pStyle w:val="Normal"/>
        <w:autoSpaceDE w:val="false"/>
        <w:bidi w:val="0"/>
        <w:spacing w:lineRule="auto" w:line="36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5760" w:firstLine="52"/>
        <w:jc w:val="right"/>
        <w:rPr/>
      </w:pPr>
      <w:r>
        <w:rPr>
          <w:sz w:val="24"/>
          <w:szCs w:val="24"/>
        </w:rPr>
        <w:t>тыс.руб</w:t>
      </w:r>
      <w:r>
        <w:rPr/>
        <w:t>.</w:t>
      </w:r>
    </w:p>
    <w:tbl>
      <w:tblPr>
        <w:tblW w:w="963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0"/>
        <w:gridCol w:w="4410"/>
      </w:tblGrid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23571,5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>7552,5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7852,5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8166,5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1.2. В разделе 2 «Текст программы»: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1.2.1.  пункт 2.5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мероприятий.</w:t>
      </w:r>
    </w:p>
    <w:tbl>
      <w:tblPr>
        <w:tblW w:w="9870" w:type="dxa"/>
        <w:jc w:val="left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571"/>
        <w:gridCol w:w="1499"/>
        <w:gridCol w:w="206"/>
        <w:gridCol w:w="988"/>
        <w:gridCol w:w="110"/>
        <w:gridCol w:w="30"/>
        <w:gridCol w:w="1566"/>
        <w:gridCol w:w="68"/>
        <w:gridCol w:w="774"/>
        <w:gridCol w:w="7"/>
        <w:gridCol w:w="709"/>
        <w:gridCol w:w="142"/>
        <w:gridCol w:w="283"/>
        <w:gridCol w:w="445"/>
        <w:gridCol w:w="122"/>
        <w:gridCol w:w="142"/>
        <w:gridCol w:w="710"/>
        <w:gridCol w:w="19"/>
        <w:gridCol w:w="690"/>
        <w:gridCol w:w="19"/>
        <w:gridCol w:w="121"/>
        <w:gridCol w:w="285"/>
        <w:gridCol w:w="244"/>
        <w:gridCol w:w="120"/>
      </w:tblGrid>
      <w:tr>
        <w:trPr/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938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6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5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2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7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750" w:type="dxa"/>
            <w:gridSpan w:val="24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/>
        <w:tc>
          <w:tcPr>
            <w:tcW w:w="9750" w:type="dxa"/>
            <w:gridSpan w:val="24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Создание системы пропаганды с целью формирования негативного отношения к правонарушителям в сфере дорожного движения, повышение культуры вождения</w:t>
            </w:r>
          </w:p>
        </w:tc>
      </w:tr>
      <w:tr>
        <w:trPr>
          <w:trHeight w:val="525" w:hRule="atLeast"/>
        </w:trPr>
        <w:tc>
          <w:tcPr>
            <w:tcW w:w="571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обеспечению безопасности дорожного движения при администрации Шарангского муниципального района</w:t>
            </w:r>
          </w:p>
        </w:tc>
        <w:tc>
          <w:tcPr>
            <w:tcW w:w="988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 (ежеквартально)</w:t>
            </w:r>
          </w:p>
        </w:tc>
        <w:tc>
          <w:tcPr>
            <w:tcW w:w="1706" w:type="dxa"/>
            <w:gridSpan w:val="3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обеспечению безопасности дорожного движения при администрации Шарангского муниципального района</w:t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телепередач по тематике безопасности дорожного движения </w:t>
            </w:r>
          </w:p>
        </w:tc>
        <w:tc>
          <w:tcPr>
            <w:tcW w:w="988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согласованию), МП Шарангское телевидение «Истоки»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постоянной тематической рубрики (выпуск тематических приложений) по тематике безопасности дорожного движения в районной газете «Знамя победы» </w:t>
            </w:r>
          </w:p>
        </w:tc>
        <w:tc>
          <w:tcPr>
            <w:tcW w:w="988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6" w:type="dxa"/>
            <w:gridSpan w:val="3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МО МВД России "Уренский" (по согласованию),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Редакция газеты «Знамя победы» </w:t>
            </w:r>
          </w:p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/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>
          <w:trHeight w:val="2297" w:hRule="atLeast"/>
        </w:trPr>
        <w:tc>
          <w:tcPr>
            <w:tcW w:w="571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проката видеороликов по</w:t>
              <w:br/>
              <w:t xml:space="preserve">тематике безопасности дорожного движения по местному телевидению, в образовательных учреждениях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согласованию), МП Шарангское телевидение «Истоки», районный отдел образования администрации Шарангского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3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информирования населения о состоянии аварийности, принимаемых мерах по ее стабилизации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ОГИБДД МО МВД России "Уренский" (по согласованию), МП Шарангское телевидение «Истоки»,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Формирование у детей навыков безопасного поведения на дорогах</w:t>
            </w:r>
          </w:p>
        </w:tc>
      </w:tr>
      <w:tr>
        <w:trPr>
          <w:trHeight w:val="25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руководителей</w:t>
              <w:br/>
              <w:t xml:space="preserve">образовательных учреждений района по предупреждению детского дорожно-транспортного травматизма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exact" w:line="317"/>
              <w:ind w:right="-1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(Май, сентябрь)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Шарангского муниципального района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размещение схем «Дом-школа-дом», паспортов транспортной безопасности на официальных сайтах образовательных учреждений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exact" w:line="317"/>
              <w:ind w:right="-12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(Август-сентябрь)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 района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9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spacing w:lineRule="exact" w:line="317"/>
              <w:ind w:right="-122" w:hanging="0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изучение деятельности образовательных учреждений района по профилактике детского дорожно-транспортного травматизма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Шарангского муниципального района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1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информирование ОГИБДД МО МВД России (по согласованию) о недостатках улично-дорожной сети вблизи образовательных учреждений, влияющих на безопасность юных участников дорожного движения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(Август)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Шарангского муниципального района, руководители образовательных учреждений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31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практических мероприятий по правилам дорожного движения для образовательных учреждений в целях использования их в процессе обучения детей безопасному поведению на дорогах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 (по плану)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Шарангского муниципального района,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МО МВД России "Уренский"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9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светоотражающих элементов для учеников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детских конкурсных программ по профилактике детского дорожно-транспортного травматизма «ЮИД - это классно!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 – это здорово!», «Дорога глазами детей», «Внимание – дети!», «Мы и улица!», «Внимание – дорога!»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(Июль-август)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Шарангского муниципального района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Развитие современной системы оказания помощи пострадавшим в дорожно-транспортных происшествиях</w:t>
            </w:r>
          </w:p>
        </w:tc>
      </w:tr>
      <w:tr>
        <w:trPr>
          <w:trHeight w:val="25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сотрудников, участвующих в ликвидации последствий ДТП, приемам оказания первой медицинской помощи пострадавшим в ДТП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(2 кв.)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НО «Шарангская Центральная районная больница»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4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4. 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 </w:t>
            </w:r>
          </w:p>
        </w:tc>
      </w:tr>
      <w:tr>
        <w:trPr>
          <w:trHeight w:val="228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линейного контроля за водителями автобусов, осуществляющими регулярные перевозки пассажиров в городском, пригородном, междугородном сообщениях и по разовым заказам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транспортных средств с использованием средств технического диагностирования при получении лицензии на осуществление перевозок пассажиров и при выявлении на линии неисправностей, угрожающих безопасности дорожного движения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5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11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рабочих собраний с водительским составом и инженерно-техническими работниками автотранспортных организаций с обсуждением вопроса о состоянии аварийности и дорожно-транспортной дисциплины, разбор причин совершения дорожно-транспортных происшествий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«Шарангское ПАП»,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9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39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ежегодных конкурсов профессионального мастерства среди водителей автобусов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(2 кв.)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«Шарангское ПАП»,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нормирования скоростей движения на маршрутах пассажирского автотранспорта в р.п.Шаранга и Шарангском муниципальном районе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«Шарангское ПАП»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8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водителей автобусов всех форм собственности по 20 часовой программе безопасности дорожного движения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(1 кв.)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МУП «Шарангское ПАП», 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отдел образования администрации Шарангского муниципального района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ежегодного обучения инженерно-технических работников, связанных с обеспечением безопасности дорожного движения, по 10-часовой программе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(1кв.)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 «Шарангское ПАП»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6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5. Повышение уровня технического обеспечения мероприятий по безопасности дорожного движения </w:t>
            </w:r>
          </w:p>
        </w:tc>
      </w:tr>
      <w:tr>
        <w:trPr>
          <w:trHeight w:val="216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районных и участие в совместных общероссийских и областных профилактических операциях "Автобус", "Челнок", "Школьный автобус", «Непоседа» и др.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ОГИБДД МО МВД России "Уренский" (по согласованию)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проверок эксплуатационного состояния автомобильных дорог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"Уренский" (по согласованию), ООО «Магистраль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8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в отношении хозяйствующих субъектов, осуществляющих перевозки пассажиров автомобильным транспортом на основании специального разрешения (лицензии)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МО МВД России "Уренский" (по согласованию)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маршрутов регулярных пассажирских перевозок внутри муниципального образования на соответствие их безопасности движения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0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6. Совершенствование организации движения транспорта и пешеходов</w:t>
            </w:r>
          </w:p>
        </w:tc>
      </w:tr>
      <w:tr>
        <w:trPr>
          <w:trHeight w:val="180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очагов аварийности на автомобильных дорогах на территории района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МО МВД России «Уренский» (по согласованию), ООО «Магистраль (по согласованию), администрации поселений района (по 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устранение недостатков в улично-дорожной сети, влияющих на безопасность дорожного движения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«Магистраль» (по согласованию), администрации поселений района (по согласованию)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9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нарядов ДПС в местах концентрации ДТП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«Уренский» (согласованию)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52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владельцами большегрузных автомобилей, направленная на недопущение стоянки данного транспорта на улицах поселений района 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МО МВД России «Уренский» (согласованию)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98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54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>
          <w:trHeight w:val="465" w:hRule="atLeast"/>
        </w:trPr>
        <w:tc>
          <w:tcPr>
            <w:tcW w:w="98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Реализация мероприятий по содержанию дорог общего пользования местного значения в зимний период</w:t>
            </w:r>
          </w:p>
        </w:tc>
      </w:tr>
      <w:tr>
        <w:trPr>
          <w:trHeight w:val="474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ind w:hanging="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работ по зимнему содержанию дорог общего пользования местного значения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2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7873,0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97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54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Реализация мероприятий по содержание дорог общего пользования местного значения в летний период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ind w:hanging="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работ по летнему содержании, </w:t>
            </w:r>
          </w:p>
          <w:p>
            <w:pPr>
              <w:pStyle w:val="ConsPlusNormal"/>
              <w:ind w:hanging="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ремонту дорог общего пользования местного значения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2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5062,0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5062,0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1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97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54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Приведение улично-дорожной сети в технически- исправное состояние, обеспечивающее безопасность дорожного движения в Шарангском муниципальном районе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работ по строительству, реконструкции и ремонту дорог общего пользования местного значения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ind w:firstLine="2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10636,5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10636,5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b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3541,5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30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ConsPlusNormal"/>
              <w:snapToGrid w:val="false"/>
              <w:ind w:hanging="6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3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jc w:val="both"/>
              <w:outlineLvl w:val="3"/>
              <w:rPr>
                <w:rFonts w:ascii="Tempus Sans ITC" w:hAnsi="Tempus Sans ITC" w:cs="Times New Roman"/>
                <w:sz w:val="24"/>
                <w:szCs w:val="24"/>
              </w:rPr>
            </w:pPr>
            <w:r>
              <w:rPr>
                <w:rFonts w:cs="Times New Roman" w:ascii="Tempus Sans ITC" w:hAnsi="Tempus Sans ITC"/>
                <w:sz w:val="24"/>
                <w:szCs w:val="24"/>
              </w:rPr>
            </w:r>
          </w:p>
        </w:tc>
        <w:tc>
          <w:tcPr>
            <w:tcW w:w="16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24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3689,5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3689,5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1.2.2. пункт 2.6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sz w:val="28"/>
          <w:szCs w:val="28"/>
        </w:rPr>
        <w:t xml:space="preserve">«2.6. </w:t>
      </w:r>
      <w:r>
        <w:rPr/>
        <w:t>Ресурсное обеспечение программы</w:t>
      </w:r>
    </w:p>
    <w:tbl>
      <w:tblPr>
        <w:tblW w:w="9659" w:type="dxa"/>
        <w:jc w:val="left"/>
        <w:tblInd w:w="0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1307"/>
        <w:gridCol w:w="1071"/>
        <w:gridCol w:w="1190"/>
        <w:gridCol w:w="1190"/>
        <w:gridCol w:w="1190"/>
        <w:gridCol w:w="1190"/>
        <w:gridCol w:w="2511"/>
        <w:gridCol w:w="10"/>
      </w:tblGrid>
      <w:tr>
        <w:trPr>
          <w:trHeight w:val="540" w:hRule="atLeast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реали-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72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307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ральный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Област-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>
        <w:trPr/>
        <w:tc>
          <w:tcPr>
            <w:tcW w:w="965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>
          <w:trHeight w:val="239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7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65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7873,0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7873,0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5062,0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5062,0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10636,5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10636,5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23571,5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23571,5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7552,5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7552,5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8166,5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8166,5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Tempus Sans ITC">
    <w:charset w:val="01"/>
    <w:family w:val="decorative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8.45pt;margin-top:0.05pt;width:4.9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Application>LibreOffice/5.4.3.2$Windows_x86 LibreOffice_project/92a7159f7e4af62137622921e809f8546db437e5</Application>
  <Pages>13</Pages>
  <Words>1720</Words>
  <Characters>11369</Characters>
  <CharactersWithSpaces>12706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2018-02-09T11:40:26Z</cp:lastPrinted>
  <dcterms:modified xsi:type="dcterms:W3CDTF">2018-02-09T11:41:24Z</dcterms:modified>
  <cp:revision>19</cp:revision>
  <dc:subject/>
  <dc:title>ПОСТАНОВЛЕНИЕ</dc:title>
</cp:coreProperties>
</file>