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08.02.2018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1134" w:hanging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«Управление муниципальными финансами Шарангского муниципального района», утвержденную постановлением администрации Шарангского муниципального района от 4 августа 2015 года № 496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целях приведения в соответствие с решением Земского собрания Шарангского муниципального района от 22.12.2017 года № 57 «О районном бюджете на 2018 год и на плановый период 2019 и 2020 годов» администрация Шарангского муниципального района </w:t>
      </w:r>
      <w:r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 Внести в муниципальную программу «Управление муниципальными финансами Шарангского муниципального района», утвержденную постановлением администрации Шарангского муниципального района от 04.08.2015 года № 496 (далее - Программа), следующие изменения: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1.1.Позицию «Объемы бюджетных ассигнований программы за счет районного бюджета» паспорта Программы изложить в следующей редакции: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585" w:type="dxa"/>
        <w:jc w:val="left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245"/>
        <w:gridCol w:w="2774"/>
        <w:gridCol w:w="975"/>
        <w:gridCol w:w="1020"/>
        <w:gridCol w:w="1185"/>
        <w:gridCol w:w="1139"/>
        <w:gridCol w:w="1"/>
        <w:gridCol w:w="1245"/>
      </w:tblGrid>
      <w:tr>
        <w:trPr>
          <w:trHeight w:val="404" w:hRule="atLeast"/>
        </w:trPr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программы за счет районного бюджета</w:t>
            </w:r>
          </w:p>
        </w:tc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3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муниципальной программы</w:t>
            </w:r>
          </w:p>
        </w:tc>
      </w:tr>
      <w:tr>
        <w:trPr>
          <w:trHeight w:val="1512" w:hRule="atLeast"/>
        </w:trPr>
        <w:tc>
          <w:tcPr>
            <w:tcW w:w="1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84" w:hRule="atLeast"/>
        </w:trPr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1.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3 000,0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98" w:hRule="atLeast"/>
        </w:trPr>
        <w:tc>
          <w:tcPr>
            <w:tcW w:w="1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2.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20 647,1 тыс. руб.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15 673,7 тыс. руб.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36 328,7 тыс. руб.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72 649,5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>
        <w:trPr>
          <w:trHeight w:val="321" w:hRule="atLeast"/>
        </w:trPr>
        <w:tc>
          <w:tcPr>
            <w:tcW w:w="1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  3. "Повышение эффективности бюджетных расходов Шарангского муниципального района "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1 048,7 тыс. руб.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1 058,3 тыс. руб.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>
        <w:trPr>
          <w:trHeight w:val="321" w:hRule="atLeast"/>
        </w:trPr>
        <w:tc>
          <w:tcPr>
            <w:tcW w:w="1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  4. "Обеспечение реализации муниципальной программы"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9 137,6 тыс. руб.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9 694,4 тыс. руб.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10 110,3 тыс. руб.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28 942,3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>
        <w:trPr>
          <w:trHeight w:val="321" w:hRule="atLeast"/>
        </w:trPr>
        <w:tc>
          <w:tcPr>
            <w:tcW w:w="12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31 738,0 тыс. руб.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27 416,8 тыс. руб.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48 497,3 тыс. руб.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107 652,1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1.2. В абзаце первом раздела </w:t>
      </w:r>
      <w:r>
        <w:rPr>
          <w:rFonts w:eastAsia="Times New Roman" w:cs="Times New Roman"/>
          <w:sz w:val="28"/>
          <w:szCs w:val="28"/>
          <w:lang w:val="en-US" w:eastAsia="ru-RU"/>
        </w:rPr>
        <w:t>VI</w:t>
      </w:r>
      <w:r>
        <w:rPr>
          <w:rFonts w:eastAsia="Times New Roman" w:cs="Times New Roman"/>
          <w:sz w:val="28"/>
          <w:szCs w:val="28"/>
          <w:lang w:eastAsia="ru-RU"/>
        </w:rPr>
        <w:t xml:space="preserve"> «Ресурсное обеспечение Программы» цифры «93 209,1» заменить цифрами «107 652,1», цифры «131 726,9» - цифрами «153 658,1».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VIII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1 «Организация и совершенствование бюджетного процесса Шарангского муниципального района»: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1.3.1. Позицию «Объемы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458" w:type="dxa"/>
        <w:jc w:val="left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4"/>
        <w:gridCol w:w="1560"/>
        <w:gridCol w:w="1425"/>
        <w:gridCol w:w="1426"/>
        <w:gridCol w:w="2273"/>
      </w:tblGrid>
      <w:tr>
        <w:trPr>
          <w:trHeight w:val="351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 за счет районного бюджета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2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369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 тыс. руб.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 тыс. руб.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3 000,0 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1.3.2. В позиции «Индикаторы достижения цели и показатели непосредственных результатов» паспорта подпрограммы абзац три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уровень дефицита районного бюджета по отношению к доходам районного бюджета без учета безвозмездных поступлений и (или) поступлений налоговых доходов по дополнительным нормативам отчислений</w:t>
      </w:r>
      <w:r>
        <w:rPr>
          <w:rFonts w:cs="Times New Roman"/>
          <w:bCs/>
          <w:sz w:val="28"/>
          <w:szCs w:val="28"/>
        </w:rPr>
        <w:t xml:space="preserve"> не более 10%</w:t>
      </w:r>
      <w:r>
        <w:rPr>
          <w:rFonts w:eastAsia="Times New Roman" w:cs="Times New Roman"/>
          <w:sz w:val="28"/>
          <w:szCs w:val="28"/>
          <w:lang w:eastAsia="ru-RU"/>
        </w:rPr>
        <w:t>“.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1.3.3.В абзаце первом раздела «Ресурсное обеспечение Подпрограммы» цифры «4 300,0» заменить цифрами «3 000,0».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1.4.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IX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2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района»: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1.4.1.Позицию «Объемы бюджетных ассигнований Подпрограммы за счет районного бюджета»паспорта Подпрограммы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2"/>
        <w:gridCol w:w="1611"/>
        <w:gridCol w:w="1612"/>
        <w:gridCol w:w="1447"/>
        <w:gridCol w:w="1966"/>
      </w:tblGrid>
      <w:tr>
        <w:trPr>
          <w:trHeight w:val="535" w:hRule="atLeast"/>
        </w:trPr>
        <w:tc>
          <w:tcPr>
            <w:tcW w:w="3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за счет районного бюджета </w:t>
            </w:r>
          </w:p>
        </w:tc>
        <w:tc>
          <w:tcPr>
            <w:tcW w:w="4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27" w:hRule="atLeast"/>
        </w:trPr>
        <w:tc>
          <w:tcPr>
            <w:tcW w:w="30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0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20 647,1 тыс.рублей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15 673,7 тыс.рублей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36 328,7 тыс.рублей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72 649,5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1.4.2. В абзаце первом раздела «Ресурсное обеспечение Подпрограммы» цифры «57 423,5» заменить цифрами «72 649,5», цифры «95 941,3» заменить цифрами «118 655,5».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1.5.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X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3 </w:t>
      </w:r>
      <w:r>
        <w:rPr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Повышение эффективности бюджетных расходов Шарангского муниципального района»: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1.5.1. Позицию «Объемы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518" w:type="dxa"/>
        <w:jc w:val="left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0"/>
        <w:gridCol w:w="1709"/>
        <w:gridCol w:w="1545"/>
        <w:gridCol w:w="1605"/>
        <w:gridCol w:w="1"/>
        <w:gridCol w:w="1958"/>
      </w:tblGrid>
      <w:tr>
        <w:trPr>
          <w:trHeight w:val="535" w:hRule="atLeast"/>
        </w:trPr>
        <w:tc>
          <w:tcPr>
            <w:tcW w:w="2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подпрограммы за счет районного бюджета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83" w:hRule="atLeast"/>
        </w:trPr>
        <w:tc>
          <w:tcPr>
            <w:tcW w:w="2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1 048,7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1 058,3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1.5.2. В абзаце первом раздела «Ресурсное обеспечение Подпрограммы» цифры «3 187,0» заменить цифрами «3 060,3».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1.6. В разделе </w:t>
      </w:r>
      <w:r>
        <w:rPr>
          <w:rFonts w:eastAsia="Times New Roman" w:cs="Times New Roman"/>
          <w:sz w:val="28"/>
          <w:szCs w:val="28"/>
          <w:lang w:val="en-US" w:eastAsia="ru-RU"/>
        </w:rPr>
        <w:t>XI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«Подпрограмма 4 «Обеспечение реализации муниципальной программы» позицию «Объемы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01"/>
        <w:gridCol w:w="1560"/>
        <w:gridCol w:w="1558"/>
        <w:gridCol w:w="1556"/>
        <w:gridCol w:w="2"/>
        <w:gridCol w:w="2029"/>
      </w:tblGrid>
      <w:tr>
        <w:trPr>
          <w:trHeight w:val="373" w:hRule="atLeast"/>
        </w:trPr>
        <w:tc>
          <w:tcPr>
            <w:tcW w:w="2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Подпрограммы за счет районного бюджета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2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69" w:hRule="atLeast"/>
        </w:trPr>
        <w:tc>
          <w:tcPr>
            <w:tcW w:w="2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9 137,6 тыс.рублей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9 694,4 тыс.рублей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10 110,3 тыс.рублей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28 942,3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2. Приложения 1,3,4 к Программе изложить в новой редакции согласно приложениям 1,2,3 к настоящему постановлению.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bookmarkStart w:id="1" w:name="__DdeLink__5154_3092530573"/>
      <w:bookmarkEnd w:id="1"/>
      <w:r>
        <w:rPr>
          <w:rFonts w:eastAsia="Times New Roman" w:cs="Times New Roman"/>
          <w:sz w:val="24"/>
          <w:szCs w:val="24"/>
          <w:lang w:eastAsia="ru-RU"/>
        </w:rPr>
        <w:t>от 08.02.2018 г. № 81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«Приложение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«Управление муниципальными финансами Шарангского муниципального района»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«Управление муниципальными финансами Шарангского муниципального района»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-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267"/>
        <w:gridCol w:w="1632"/>
        <w:gridCol w:w="3137"/>
        <w:gridCol w:w="83"/>
        <w:gridCol w:w="1"/>
        <w:gridCol w:w="34"/>
        <w:gridCol w:w="900"/>
        <w:gridCol w:w="2"/>
        <w:gridCol w:w="39"/>
        <w:gridCol w:w="1"/>
        <w:gridCol w:w="13"/>
        <w:gridCol w:w="2"/>
        <w:gridCol w:w="10"/>
        <w:gridCol w:w="2"/>
        <w:gridCol w:w="4"/>
        <w:gridCol w:w="1014"/>
        <w:gridCol w:w="70"/>
        <w:gridCol w:w="1"/>
        <w:gridCol w:w="2"/>
        <w:gridCol w:w="19"/>
        <w:gridCol w:w="55"/>
        <w:gridCol w:w="933"/>
        <w:gridCol w:w="70"/>
        <w:gridCol w:w="1"/>
        <w:gridCol w:w="7"/>
        <w:gridCol w:w="2"/>
        <w:gridCol w:w="13"/>
        <w:gridCol w:w="1"/>
        <w:gridCol w:w="9"/>
        <w:gridCol w:w="13"/>
        <w:gridCol w:w="41"/>
        <w:gridCol w:w="69"/>
        <w:gridCol w:w="1063"/>
        <w:gridCol w:w="2"/>
        <w:gridCol w:w="1"/>
        <w:gridCol w:w="2"/>
        <w:gridCol w:w="4"/>
        <w:gridCol w:w="17"/>
        <w:gridCol w:w="2"/>
        <w:gridCol w:w="1"/>
        <w:gridCol w:w="365"/>
        <w:gridCol w:w="655"/>
        <w:gridCol w:w="4"/>
        <w:gridCol w:w="2"/>
        <w:gridCol w:w="3"/>
      </w:tblGrid>
      <w:tr>
        <w:trPr>
          <w:tblHeader w:val="true"/>
          <w:trHeight w:val="375" w:hRule="atLeast"/>
        </w:trPr>
        <w:tc>
          <w:tcPr>
            <w:tcW w:w="4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449" w:type="dxa"/>
            <w:gridSpan w:val="4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>
        <w:trPr>
          <w:tblHeader w:val="true"/>
          <w:trHeight w:val="375" w:hRule="atLeast"/>
        </w:trPr>
        <w:tc>
          <w:tcPr>
            <w:tcW w:w="4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2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Цель муниципальной программы - обеспечение сбалансированности и устойчивости бюджета Шарангского муниципального района, повышение эффективности и качества управления муниципальными финансами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91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10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2016-2018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1.1.1. Внесение изменений в решение Земского собрания Шарангского муниципального района от 27 марта 2008 года № 3 «Об утверждении Положения о бюджетном процессе в Шарангском муниципальном районе»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 Внесение изменений в порядок разработки среднесрочного финансового плана Шарангского муниципального района и проект решения о районном бюджете, порядок составления и ведения реестра расходных обязательств Шарангского муниципального района, порядок составления и ведения сводной бюджетной росписи районного бюджета и порядок составления и ведения бюджетных росписей главных распорядителей (распорядителей) средств районного бюджета</w:t>
            </w:r>
          </w:p>
        </w:tc>
      </w:tr>
      <w:tr>
        <w:trPr>
          <w:trHeight w:val="444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1.1.3. Разработка плана мероприятий по разработке прогноза социально-экономического развития Шарангского муниципального района, районного бюджета и среднесрочного финансового плана на очередной финансовый год и плановый период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1.1.4. Разработка основных направлений бюджетной и налоговой политики Шарангского муниципального района на очередной финансовый год и плановый период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1.1.5. Формирование методики планирования бюджетных ассигнований районного бюджета и методических рекомендаций по составлению субъектами бюджетного планирования районного бюджета обоснований бюджетных ассигнований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1.1.6. Разработка порядка, определяющего перечень и коды целевых статей расходов местных бюджетов поселений, финансовое обеспечение которых осуществляется за счет иных межбюджетных трансфертов, имеющих целевое назначение, предоставляемых из районного бюджета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1.1.7. Разработка порядка применения кодов целевых статей расходов классификации расходов бюджетов при формировании районного бюджета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1.1.8. Разработка проекта постановления администрации Шарангского муниципального района "О мерах по реализации решения Земского собрания Шарангского муниципального района о районном бюджете на очередной финансовый год"</w:t>
            </w:r>
          </w:p>
        </w:tc>
      </w:tr>
      <w:tr>
        <w:trPr>
          <w:trHeight w:val="1354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1.2.1. Формирование предварительного (планового) реестра расходных обязательств Шарангского муниципального района и уточненного реестра расходных обязательств Шарангского муниципального района на очередной финансовый год и плановый период</w:t>
            </w:r>
          </w:p>
        </w:tc>
      </w:tr>
      <w:tr>
        <w:trPr>
          <w:trHeight w:val="32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1.2.2. Формирование предельных объемов бюджетных ассигнований районного бюджета на очередной финансовый год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1.2.3. Формирование проекта решения Земского собрания Шарангского муниципального района о районном бюджете на очередной финансовый год и необходимых документов и материалов к нему</w:t>
            </w:r>
          </w:p>
        </w:tc>
      </w:tr>
      <w:tr>
        <w:trPr>
          <w:trHeight w:val="269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1.2.4. Организация проведения публичных слушаний по проекту районного бюджета на очередной финансовый год</w:t>
            </w:r>
          </w:p>
        </w:tc>
      </w:tr>
      <w:tr>
        <w:trPr>
          <w:trHeight w:val="362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1.2.5.Формирование сводной бюджетной росписи районного бюджета на очередной финансовый год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1.2.6. Внесение изменений в решение Земского собрания Шарангского муниципального района о районном бюджете на очередной финансовый год и сводную бюджетную роспись районного бюджета</w:t>
            </w:r>
          </w:p>
        </w:tc>
      </w:tr>
      <w:tr>
        <w:trPr>
          <w:trHeight w:val="1380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1.3.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Шарангского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1.3.1. Проведение мониторинга исполнения налоговых и неналоговых доходов в районный бюджет и в бюджеты городского и сельских поселений Шарангского муниципального района 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 Проведение мониторинга осуществляемых руководителями хозяйствующих субъектов мероприятий,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и предотвращение случаев выплаты «теневой» заработной платы</w:t>
            </w:r>
          </w:p>
        </w:tc>
      </w:tr>
      <w:tr>
        <w:trPr>
          <w:trHeight w:val="330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 Проведение оценки эффективности действия налоговых льгот, в соответствии с утвержденным порядком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 Формирование прогноза поступлений налоговых и неналоговых доходов консолидированного бюджета Шарангского муниципального района на среднесрочный и долгосрочный периоды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 1.4.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средствами резервного фонда администрации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управление администрации Шарангскогомуниципального района</w:t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</w:tc>
        <w:tc>
          <w:tcPr>
            <w:tcW w:w="11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0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3 000,0</w:t>
            </w:r>
          </w:p>
        </w:tc>
      </w:tr>
      <w:tr>
        <w:trPr>
          <w:trHeight w:val="414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1.4.1.</w:t>
            </w:r>
            <w:r>
              <w:rPr>
                <w:rFonts w:cs="Times New Roman"/>
                <w:sz w:val="24"/>
                <w:szCs w:val="24"/>
              </w:rPr>
              <w:t xml:space="preserve"> Планирование бюджетных ассигнований резервного фонда администрации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1.4.2.</w:t>
            </w:r>
            <w:r>
              <w:rPr>
                <w:rFonts w:cs="Times New Roman"/>
                <w:sz w:val="24"/>
                <w:szCs w:val="24"/>
              </w:rPr>
              <w:t xml:space="preserve"> Подготовка проектов постановлений администрации Шарангского муниципального района о выделении бюджетных ассигнований за счет резервного фонда администрации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1.4.3.</w:t>
            </w:r>
            <w:r>
              <w:rPr>
                <w:rFonts w:cs="Times New Roman"/>
                <w:sz w:val="24"/>
                <w:szCs w:val="24"/>
              </w:rPr>
              <w:t xml:space="preserve"> Формирование отчета об использовании бюджетных ассигнований резервного фонда администрации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управление администрации Шарангского муниципальногорайона</w:t>
            </w:r>
          </w:p>
        </w:tc>
        <w:tc>
          <w:tcPr>
            <w:tcW w:w="9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1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0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1.5.1.</w:t>
            </w:r>
            <w:r>
              <w:rPr>
                <w:rFonts w:cs="Times New Roman"/>
                <w:sz w:val="24"/>
                <w:szCs w:val="24"/>
              </w:rPr>
              <w:t xml:space="preserve"> Совершенствование нормативной правовой базы по организации исполнения районного бюджета</w:t>
            </w:r>
          </w:p>
        </w:tc>
      </w:tr>
      <w:tr>
        <w:trPr>
          <w:trHeight w:val="322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1.5.2.</w:t>
            </w:r>
            <w:r>
              <w:rPr>
                <w:rFonts w:cs="Times New Roman"/>
                <w:sz w:val="24"/>
                <w:szCs w:val="24"/>
              </w:rPr>
              <w:t xml:space="preserve"> Ведение лицевых счетов для осуществления операций со средствами участников и неучастников бюджетного процесса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1.5.3.</w:t>
            </w:r>
            <w:r>
              <w:rPr>
                <w:rFonts w:cs="Times New Roman"/>
                <w:sz w:val="24"/>
                <w:szCs w:val="24"/>
              </w:rPr>
              <w:t xml:space="preserve"> Доведение лимитов бюджетных обязательств и предельных объемов финансирования до главных распорядителей средств районного бюджета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1.5.4.</w:t>
            </w:r>
            <w:r>
              <w:rPr>
                <w:rFonts w:cs="Times New Roman"/>
                <w:sz w:val="24"/>
                <w:szCs w:val="24"/>
              </w:rPr>
              <w:t xml:space="preserve"> 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1.5.5.</w:t>
            </w:r>
            <w:r>
              <w:rPr>
                <w:rFonts w:cs="Times New Roman"/>
                <w:sz w:val="24"/>
                <w:szCs w:val="24"/>
              </w:rPr>
              <w:t xml:space="preserve"> Осуществление текущего контроля над расходами районного бюджета на стадии подготовки платежных документов получателями средств районного бюджета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 1.6.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Формирование и представление бюджетной отчетности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2016-2018 годы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2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0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1.6.1. Формирование ежемесячного, годового отчета об исполнении консолидированного бюджета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1.6.2. Формирование отчета об исполнении районного бюджета за первый квартал, полугодие и девять месяцев текущего финансового года и иных, предоставляемых с ним документов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1.6.3. Разработка проекта решения Земского собрания Шарангского муниципального района об исполнении районного бюджета за отчетный финансовый год и иных, предоставляемых с ним документов</w:t>
            </w:r>
          </w:p>
        </w:tc>
      </w:tr>
      <w:tr>
        <w:trPr>
          <w:trHeight w:val="228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1.6.4. Организация проведения публичных слушаний по годовому отчету об исполнении районного бюджета</w:t>
            </w:r>
          </w:p>
        </w:tc>
      </w:tr>
      <w:tr>
        <w:trPr>
          <w:trHeight w:val="268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1.7.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полномочий по внутреннему муниципальному финансовому контролю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Шарангскогомуниципального района</w:t>
            </w:r>
          </w:p>
        </w:tc>
        <w:tc>
          <w:tcPr>
            <w:tcW w:w="9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1.7.1. Организация и проведение контрольных мероприятий в соответствии с Бюджетным кодексом Российской Федерации</w:t>
            </w:r>
          </w:p>
        </w:tc>
      </w:tr>
      <w:tr>
        <w:trPr>
          <w:trHeight w:val="473" w:hRule="atLeast"/>
        </w:trPr>
        <w:tc>
          <w:tcPr>
            <w:tcW w:w="100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</w:t>
            </w:r>
          </w:p>
        </w:tc>
        <w:tc>
          <w:tcPr>
            <w:tcW w:w="11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20 647,1</w:t>
            </w:r>
          </w:p>
        </w:tc>
        <w:tc>
          <w:tcPr>
            <w:tcW w:w="11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15 673,7</w:t>
            </w:r>
          </w:p>
        </w:tc>
        <w:tc>
          <w:tcPr>
            <w:tcW w:w="12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36 328,7</w:t>
            </w:r>
          </w:p>
        </w:tc>
        <w:tc>
          <w:tcPr>
            <w:tcW w:w="10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72 649,5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20 647,1</w:t>
            </w:r>
          </w:p>
        </w:tc>
        <w:tc>
          <w:tcPr>
            <w:tcW w:w="11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15 673,7</w:t>
            </w:r>
          </w:p>
        </w:tc>
        <w:tc>
          <w:tcPr>
            <w:tcW w:w="12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36 328,7</w:t>
            </w:r>
          </w:p>
        </w:tc>
        <w:tc>
          <w:tcPr>
            <w:tcW w:w="10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72 649,5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2.1.1. Предоставление бюджетам поселений дотаций на выравнивание бюджетной обеспеченности, иных межбюджетных трансфертов на поддержку мер по обеспечению сбалансированности бюджетов,прочих иных межбюджетных трансфертов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2.1.2. Подготовка изменений в решение Земского собрания Шарангского муниципального района «О межбюджетных отношениях в Шарангском муниципальном районе» в соответствии с изменениями, внесенными в Закон Нижегородской области «О межбюджетных отношениях»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 за счет средств федерального и областногобюджетов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3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58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2.2.1. Распределение и предоставление бюджетам поселений Шарангского муниципального района субвенций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>
        <w:trPr>
          <w:trHeight w:val="268" w:hRule="atLeast"/>
        </w:trPr>
        <w:tc>
          <w:tcPr>
            <w:tcW w:w="100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3. Повышение эффективности бюджетных расходов Шарангского муниципального района</w:t>
            </w:r>
          </w:p>
        </w:tc>
        <w:tc>
          <w:tcPr>
            <w:tcW w:w="11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2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0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3.1. Разработка и реализация муниципальных программ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17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3.1.1. Разработка проектов муниципальных программ Шарангского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3.1.2.Разработка планов реализации муниципальных программ Шарангского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3.1.3.Внесение изменений в муниципальные программы Шарангского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3.1.4.Проведение мониторинга реализации и оценки эффективности реализации муниципальных программ Шарангского муниципального района.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3.2.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5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1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3.2.1.Внесение изменений в решение Земского собрания Шарангского муниципального района «Об утверждении Положения о бюджетном процессе в Шарангском муниципальном районе»;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3.2.2.Формирование новой структуры целевых статей районного бюджета в связи с внедрением программной структуры расходов бюджета на уровне целевых статей.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3.3. Обеспечение взаимосвязи муниципальных программ и муниципальных заданий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9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3.3.1.Формирование параметров муниципальных заданий в соответствии с целями и результатами соответствующих муниципальных программ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3.4. Оптимизация подходов к оказанию однотипных муниципальных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района, финансовое управление администрации Шарангскогомуниципального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3.4.1.Разработка и утверждение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Шарангского муниципального района в соответствии с пунктом 3.1 статьи 69.2 Бюджетного кодекса Российской Федерации, с соблюдением общих требований, установленных Правительством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3.4.2.Формирование ведомственных перечней муниципальных услуг на основе базовых (отраслевых) перечней государственных и муниципальных работ и услуг, утвержденных федеральными органами исполнительной власти, осуществляющими функции по выработке государственной политики и нормативно – правовому регулированию в установленных сферах деятельности.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3.5.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7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3.5.1.Проведение мониторинга выполнения муниципальных заданий, пересмотр и корректировка показателей муниципального задания текущего финансового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3.5.2.Разработка порядка наложения количественно измеримых финансовых санкций (штрафы, изъятия) за нарушение условий выполнения муниципальных заданий, в том числе выполнение муниципальных заданий не в полном объеме, с нарушением установленных сроков или показателей качества;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3.5.3. Установление и доведение до муниципальных учреждений количественно измеримых финансовых санкций (штрафы, изъятия) за нарушение условий выполнения муниципальных заданий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3.6.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00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3.6.1.Проведение оценки качества фактически предоставляемых муниципальных услуг, муниципальными учреждениями Шарангского муниципального района, утвержденным стандартам для обеспечения повышения качества и доступности муниципальных услуг на территории Шарангского муниципального района.</w:t>
            </w:r>
          </w:p>
        </w:tc>
      </w:tr>
      <w:tr>
        <w:trPr>
          <w:trHeight w:val="1199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3.7.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9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70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3.7.1.Осуществление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внутреннего финансового контроля и внутреннего финансового аудита</w:t>
            </w:r>
          </w:p>
        </w:tc>
      </w:tr>
      <w:tr>
        <w:trPr>
          <w:trHeight w:val="131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3.8. Повышение эффективности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1281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3.8.1.Разработка порядка осуществления ведомственного контроля в сфере закупок товаров, работ, услуг для обеспечения муниципальных нужд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Организационно-правовой отдел администрации Шарангского 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6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3.8.2. Осуществление структурными подразделениями администрации Шарангского муниципального района, выполняющими функции учредителя муниципальных учреждений Шарангского муниципального района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3.9. Повышение прозрачности деятельности органов местного самоуправления Шарангского муниципального района и муниципальных учреждений Шарангского муниципального района по оказанию муниципальных услуг и соблюдению требований к их качеству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447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3.9.1.Размещение на официальном сайте администрации Шарангского муниципального района: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-ведомственных перечней муниципальных услуг, оказываемых муниципальными учреждениями Шарангского муниципального района в качестве основных видов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-муниципальных заданий на оказание муниципальных услуг и отчетов об их выполнении, результатов контроля за исполнением муниципальных заданий;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информации о размере платы, порядке ее взимания и порядке оказания услуг, оказываемых органами местного самоуправления Шарангского муниципального района и муниципальными учреждениями Шарангского муниципального района, в том числе по услугам, которые являются необходимыми и обязательными для предоставления органами местного самоуправления муниципальных услуг;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-результатов оценки соответствия качества фактически предоставляемых муниципальных услуг, муниципальными учреждениями Шарангского муниципального района, утвержденным стандартам;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-нормативов финансовых затрат на предоставление муниципальных услуг в сферах образования, культуры, физической культуры и спорта;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-отчетов о реализации муниципальных программ Шарангского муниципального района.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3.10. Повышение открытости информации о бюджетном процессе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финансовое управление администрации Шарангского муниципального района</w:t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3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3.10.1.Проведение публичных слушаний по проекту районного бюджета и по отчету об исполнении районного бюджета.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3.10.2. Формирование информационного сборника «Бюджет для граждан».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3.10.3. </w:t>
            </w:r>
            <w:bookmarkStart w:id="2" w:name="_GoBack1"/>
            <w:bookmarkEnd w:id="2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Регулярное размещений на официальном сайте администрации Шарангского муниципального района в разделе «Муниципальные финансы» информации о планировании и исполнении бюджета.</w:t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3.11.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01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4. Обеспечение реализации муниципальной программы</w:t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4.1. 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9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9 137,6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0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28 942,3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4.1.1. Администрирование расходов на содержание и обеспечение деятельности финансового управления администрации Шарангского муниципального района.</w:t>
            </w:r>
          </w:p>
        </w:tc>
      </w:tr>
      <w:tr>
        <w:trPr>
          <w:trHeight w:val="473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4.1.2. Кадровое и финансовое обеспечение для решения задач по реализации муниципальной программы</w:t>
            </w:r>
          </w:p>
        </w:tc>
      </w:tr>
      <w:tr>
        <w:trPr>
          <w:trHeight w:val="242" w:hRule="atLeast"/>
        </w:trPr>
        <w:tc>
          <w:tcPr>
            <w:tcW w:w="14568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4.1.3. Повышение квалификации и переподготовка специалистов финансового управления</w:t>
            </w:r>
          </w:p>
        </w:tc>
      </w:tr>
    </w:tbl>
    <w:p>
      <w:pPr>
        <w:pStyle w:val="Normal"/>
        <w:tabs>
          <w:tab w:val="left" w:pos="7655" w:leader="none"/>
        </w:tabs>
        <w:spacing w:lineRule="auto" w:line="240" w:before="0" w:after="0"/>
        <w:ind w:left="2124" w:hanging="0"/>
        <w:jc w:val="right"/>
        <w:rPr/>
      </w:pPr>
      <w:r>
        <w:rPr>
          <w:rFonts w:eastAsia="Times New Roman" w:cs="Times New Roman"/>
          <w:sz w:val="24"/>
          <w:szCs w:val="24"/>
          <w:lang w:eastAsia="ru-RU"/>
        </w:rPr>
        <w:t>»</w:t>
      </w:r>
      <w:r>
        <w:br w:type="page"/>
      </w:r>
    </w:p>
    <w:p>
      <w:pPr>
        <w:pStyle w:val="Normal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</w:t>
      </w:r>
    </w:p>
    <w:p>
      <w:pPr>
        <w:pStyle w:val="Normal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08.02.2018 г. № 81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«Приложение 3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«Управление муниципальными финансами Шарангского муниципального  района»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«Управление муниципальными финансами Шарангского муниципального района»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за счет средств районного бюджета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4743" w:type="dxa"/>
        <w:jc w:val="left"/>
        <w:tblInd w:w="3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407"/>
        <w:gridCol w:w="3544"/>
        <w:gridCol w:w="2"/>
        <w:gridCol w:w="3118"/>
        <w:gridCol w:w="1"/>
        <w:gridCol w:w="848"/>
        <w:gridCol w:w="2"/>
        <w:gridCol w:w="1132"/>
        <w:gridCol w:w="1"/>
        <w:gridCol w:w="1133"/>
        <w:gridCol w:w="1"/>
        <w:gridCol w:w="1132"/>
        <w:gridCol w:w="2"/>
        <w:gridCol w:w="1418"/>
      </w:tblGrid>
      <w:tr>
        <w:trPr>
          <w:tblHeader w:val="true"/>
          <w:trHeight w:val="375" w:hRule="atLeast"/>
        </w:trPr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tabs>
                <w:tab w:val="left" w:pos="1452" w:leader="none"/>
              </w:tabs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56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>
        <w:trPr>
          <w:tblHeader w:val="true"/>
          <w:trHeight w:val="375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308" w:hRule="atLeast"/>
        </w:trPr>
        <w:tc>
          <w:tcPr>
            <w:tcW w:w="59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31 738,0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27 416,8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48 497,3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107 652,1</w:t>
            </w:r>
          </w:p>
        </w:tc>
      </w:tr>
      <w:tr>
        <w:trPr>
          <w:trHeight w:val="473" w:hRule="atLeast"/>
        </w:trPr>
        <w:tc>
          <w:tcPr>
            <w:tcW w:w="59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заказчик-координатор –финансовое управление администрации Шарангского муниципального района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31 738,0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27 416,8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48 497,3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107 652,1</w:t>
            </w:r>
          </w:p>
        </w:tc>
      </w:tr>
      <w:tr>
        <w:trPr>
          <w:trHeight w:val="260" w:hRule="atLeast"/>
        </w:trPr>
        <w:tc>
          <w:tcPr>
            <w:tcW w:w="59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473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 –координатор – финансовое управление администрации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248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 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20 647,1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15 673,7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36 328,7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72 649,5</w:t>
            </w:r>
          </w:p>
        </w:tc>
      </w:tr>
      <w:tr>
        <w:trPr>
          <w:trHeight w:val="473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 –координатор – финансовое управление администрации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20 647,1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15 673,7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36 328,7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72 649,5</w:t>
            </w:r>
          </w:p>
        </w:tc>
      </w:tr>
      <w:tr>
        <w:trPr>
          <w:trHeight w:val="300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бюджетных расходов Шарангского муниципального района 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3 060,3</w:t>
            </w:r>
          </w:p>
        </w:tc>
      </w:tr>
      <w:tr>
        <w:trPr>
          <w:trHeight w:val="473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3 060,3</w:t>
            </w:r>
          </w:p>
        </w:tc>
      </w:tr>
      <w:tr>
        <w:trPr>
          <w:trHeight w:val="394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4 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28 942,3</w:t>
            </w:r>
          </w:p>
        </w:tc>
      </w:tr>
      <w:tr>
        <w:trPr>
          <w:trHeight w:val="473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 –координатор – финансовое управление администрации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28 942,3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034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3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Шарангского муниципального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08.02.2018 г. № 81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«Приложение 4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«Управление муниципальными финансами Шарангского муниципального района»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Прогнозная оценка расходов на реализацию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муниципальной программы Шарангского муниципального района «Управление муниципальными финансами Шарангского муниципального района»  за счет всех источников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9"/>
        <w:tblW w:w="15276" w:type="dxa"/>
        <w:jc w:val="left"/>
        <w:tblInd w:w="-62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184"/>
        <w:gridCol w:w="4109"/>
        <w:gridCol w:w="2"/>
        <w:gridCol w:w="2976"/>
        <w:gridCol w:w="1"/>
        <w:gridCol w:w="759"/>
        <w:gridCol w:w="2"/>
        <w:gridCol w:w="1274"/>
        <w:gridCol w:w="1"/>
        <w:gridCol w:w="1274"/>
        <w:gridCol w:w="2"/>
        <w:gridCol w:w="1274"/>
        <w:gridCol w:w="1"/>
        <w:gridCol w:w="1415"/>
      </w:tblGrid>
      <w:tr>
        <w:trPr>
          <w:trHeight w:val="375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tabs>
                <w:tab w:val="left" w:pos="1452" w:leader="none"/>
              </w:tabs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977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002" w:type="dxa"/>
            <w:gridSpan w:val="9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расходов, тыс. рублей, годы</w:t>
            </w:r>
          </w:p>
        </w:tc>
      </w:tr>
      <w:tr>
        <w:trPr>
          <w:trHeight w:val="37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473" w:hRule="atLeast"/>
        </w:trPr>
        <w:tc>
          <w:tcPr>
            <w:tcW w:w="6293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0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41 034,8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44 059,6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68 563,7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153 658,1</w:t>
            </w:r>
          </w:p>
        </w:tc>
      </w:tr>
      <w:tr>
        <w:trPr>
          <w:trHeight w:val="473" w:hRule="atLeast"/>
        </w:trPr>
        <w:tc>
          <w:tcPr>
            <w:tcW w:w="6293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760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31 738,0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27 416,8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48 497,3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107 652,1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4" w:hRule="atLeast"/>
        </w:trPr>
        <w:tc>
          <w:tcPr>
            <w:tcW w:w="6293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0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8 549,8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15 918,0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18 125,6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42 593,4</w:t>
            </w:r>
          </w:p>
        </w:tc>
      </w:tr>
      <w:tr>
        <w:trPr>
          <w:trHeight w:val="473" w:hRule="atLeast"/>
        </w:trPr>
        <w:tc>
          <w:tcPr>
            <w:tcW w:w="6293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0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1 940,8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3 412,6</w:t>
            </w:r>
          </w:p>
        </w:tc>
      </w:tr>
      <w:tr>
        <w:trPr>
          <w:trHeight w:val="283" w:hRule="atLeast"/>
        </w:trPr>
        <w:tc>
          <w:tcPr>
            <w:tcW w:w="6293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8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60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районного района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>
        <w:trPr>
          <w:trHeight w:val="11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92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74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2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Шарангскогомуниципального 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средствами резервного фонда администрации Шарангского муниципального района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3 000,0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3 000,0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 и представление бюджетной отчетности Шарангского муниципального района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1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47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 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29 943,9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32 316,5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56 395,1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118 655,5</w:t>
            </w:r>
          </w:p>
        </w:tc>
      </w:tr>
      <w:tr>
        <w:trPr>
          <w:trHeight w:val="577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20 647,1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15 673,7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36 328,7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72 649,5</w:t>
            </w:r>
          </w:p>
        </w:tc>
      </w:tr>
      <w:tr>
        <w:trPr>
          <w:trHeight w:val="192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8 549,8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15 918,0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18 125,6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42 593,4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1 940,8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3 412,6</w:t>
            </w:r>
          </w:p>
        </w:tc>
      </w:tr>
      <w:tr>
        <w:trPr>
          <w:trHeight w:val="80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29 196,9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31 591,7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54 051,0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114 839,6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20 647,1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15 673,7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36 328,7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72 649,5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8 549,8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15 918,0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17 722,3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42 593,4</w:t>
            </w:r>
          </w:p>
        </w:tc>
      </w:tr>
      <w:tr>
        <w:trPr>
          <w:trHeight w:val="28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Администрирование межбюджетных трансфертов, предоставляемых бюджетам поселений за счет средств федерального и областного бюджетов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2 344,1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3 815,9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403,3</w:t>
            </w:r>
          </w:p>
        </w:tc>
      </w:tr>
      <w:tr>
        <w:trPr>
          <w:trHeight w:val="32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724,8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1 940,8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3 412,6</w:t>
            </w:r>
          </w:p>
        </w:tc>
      </w:tr>
      <w:tr>
        <w:trPr>
          <w:trHeight w:val="722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эффективности бюджетных расходов Шарангского муниципального района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3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3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реализация муниципальных программ Шарангского муниципального района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32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8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87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4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Основное мероприятие 3.4 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Оптимизации подходов к оказанию однотипных муниципальных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3.5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3.6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8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3.7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эффективности внутреннего финансового контроля и внутреннего финансового аудита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3.8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эффективности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3.9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прозрачности деятельности органов местного самоуправления Шарангского муниципального района и муниципальных учреждений Шарангского муниципального района по оказанию муниципальных услуг и соблюдению требований к их качеству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мероприятие 3.10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Повышение открытости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информации о бюджетном процессе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>
              <w:bottom w:val="nil"/>
              <w:insideH w:val="nil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3.11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Модернизация муниципальной информационной системы управления муниципальными финансами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1 048,7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1 058,3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3 060,3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04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Подпрограмма 4. 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28 942,3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28 942,3</w:t>
            </w:r>
          </w:p>
        </w:tc>
      </w:tr>
      <w:tr>
        <w:trPr>
          <w:trHeight w:val="269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347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2184" w:type="dxa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28 942,3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9 694,4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10 110,3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28 942,3</w:t>
            </w:r>
          </w:p>
        </w:tc>
      </w:tr>
      <w:tr>
        <w:trPr>
          <w:trHeight w:val="580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областного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2184" w:type="dxa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761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/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tabs>
          <w:tab w:val="left" w:pos="7990" w:leader="none"/>
        </w:tabs>
        <w:spacing w:lineRule="auto" w:line="240" w:before="0" w:after="0"/>
        <w:ind w:left="2124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sectPr>
      <w:headerReference w:type="default" r:id="rId5"/>
      <w:type w:val="nextPage"/>
      <w:pgSz w:orient="landscape" w:w="16838" w:h="11906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8.4pt;margin-top:0.05pt;width:5pt;height:11.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24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</TotalTime>
  <Application>LibreOffice/5.4.3.2$Windows_x86 LibreOffice_project/92a7159f7e4af62137622921e809f8546db437e5</Application>
  <Pages>25</Pages>
  <Words>4180</Words>
  <Characters>28831</Characters>
  <CharactersWithSpaces>31942</CharactersWithSpaces>
  <Paragraphs>1177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2018-02-09T16:44:05Z</cp:lastPrinted>
  <dcterms:modified xsi:type="dcterms:W3CDTF">2018-02-09T16:44:42Z</dcterms:modified>
  <cp:revision>23</cp:revision>
  <dc:subject/>
  <dc:title>ПОСТАНОВЛЕНИЕ</dc:title>
</cp:coreProperties>
</file>