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22.02.2018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22.02.2018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Об отчете главы администрации о работе администрации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Шарангского муниципального  района за 2017 год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Заслушав отчет главы администрации Шарангского района о работе администрации за 2017 год, Земское собрание отмечает, что в отчетном году все отрасли экономики и социальной сферы сработали стабильно.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>За 2017 год доходы консолидированного бюджета Шарангского района составили 519,9 млн. рублей. Уточненный годовой план исполнен по доходам на 101,8%.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консолидированного бюджета в 2017 году  при уточненном годовом плане 526,4 млн. рублей профинансированы в сумме 520,7 млн. рублей  или 98,9% к плану. Бюджет исполнен с превышением расходов над доходами в сумме 0,9 млн. рублей.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Среднемесячная зарплата по району  за 2017 год составила 19696  рублей, на 1103 рубля или на 6 % выше 2016 года.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 работали в течение года большинство предприятий промышленности и торговли. Состояние развития малого и среднего бизнеса в районе можно обозначить как достаточно устойчивое. Отраслевая структура малого и среднего бизнеса района включает практически все виды экономической деятельности (торговля, строительство, обрабатывающие производства, ЖКХ, транспорт, общественное питание, бытовые услуги, и др.).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Результаты деятельности сельскохозяйственных предприятий нашего района за 2017 год следующие: посевная площадь под сельскохозяйственными культурами составила 23868 га, площадь посева льна составила 900 га. Самым значимым  событием прошедшего года стало строительство и ввод в эксплуатацию животноводческого комплекса для содержания крупного рогатого скота мясной породы на 1200 голов. Данный проект реализован обществом «Союз» в рамках областной программы «Развитие мясного скотоводства в Нижегородской области. Все сельскохозяйственные предприятия в полной потребности были обеспечены грубыми кормами и зернофуражом.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>Неплохие результаты достигнуты и в отрасли животноводства. Поголовье крупного рогатого скота увеличилось на 394 головы и составило 3706 голов.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Молочная продуктивность увеличилась  на 226 кг и составила 3855 кг.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общего образования Шарангского муниципального района на 1 января 2017 года (как и в 2016 году) включает в себя 26 образовательных учреждений:</w:t>
      </w:r>
    </w:p>
    <w:p>
      <w:pPr>
        <w:pStyle w:val="Style28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- 3 средние общеобразовательные школы;</w:t>
      </w:r>
    </w:p>
    <w:p>
      <w:pPr>
        <w:pStyle w:val="Style28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- 6 основных общеобразовательных школ;</w:t>
      </w:r>
    </w:p>
    <w:p>
      <w:pPr>
        <w:pStyle w:val="Style28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- 15 дошкольных образовательных учреждений, в том числе 4 семейных детских сада;</w:t>
      </w:r>
    </w:p>
    <w:p>
      <w:pPr>
        <w:pStyle w:val="Style28"/>
        <w:spacing w:before="0" w:after="0"/>
        <w:ind w:left="567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МБОУ ЛОЛ Шарангский дом детского творчества;</w:t>
      </w:r>
    </w:p>
    <w:p>
      <w:pPr>
        <w:pStyle w:val="Style28"/>
        <w:spacing w:before="0" w:after="0"/>
        <w:ind w:left="567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МБОУ ДОД  Детско-юношеская спортивная школа.</w:t>
      </w:r>
    </w:p>
    <w:p>
      <w:pPr>
        <w:pStyle w:val="Style28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Муниципалитетом ведется активная плановая работа по приведению материально – технической базы учреждений образования в соотвествие с нормативными требованиями. В 2017 году район принял участие в реализации государственной программы «Доступная среда», с целью повышения уровня доступности объектов образования для детей – инвалидов и детей с ОВЗ.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учреждений культуры за прошедший год показывает, что учреждения динамично развиваются по многим направлениям и вводят новые формы и методы работы. Увеличилось количество мероприятий и посетителей. Благодаря проекту «Местный дом культуры», был отремонтирован Роженцовский сельский Дом культуры и приобретено новое оборудование и аппаратура для районного Дома культуры.</w:t>
      </w:r>
    </w:p>
    <w:p>
      <w:pPr>
        <w:pStyle w:val="Style181"/>
        <w:widowControl/>
        <w:tabs>
          <w:tab w:val="left" w:pos="0" w:leader="none"/>
          <w:tab w:val="left" w:pos="10490" w:leader="none"/>
        </w:tabs>
        <w:spacing w:lineRule="auto" w:line="27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Физической культуре и спорту Администрацией района уделяется большое внимание и это приносит определенные положительные результаты. Так значительно увеличилось число занимающихся физической культурой и спортом:</w:t>
      </w:r>
      <w:r>
        <w:rPr>
          <w:sz w:val="28"/>
          <w:szCs w:val="28"/>
        </w:rPr>
        <w:t xml:space="preserve"> </w:t>
      </w:r>
    </w:p>
    <w:p>
      <w:pPr>
        <w:pStyle w:val="Style181"/>
        <w:widowControl/>
        <w:tabs>
          <w:tab w:val="left" w:pos="0" w:leader="none"/>
          <w:tab w:val="left" w:pos="10490" w:leader="none"/>
        </w:tabs>
        <w:spacing w:lineRule="auto" w:line="276"/>
        <w:ind w:firstLine="567"/>
        <w:rPr/>
      </w:pPr>
      <w:r>
        <w:rPr>
          <w:rStyle w:val="FontStyle52"/>
          <w:sz w:val="28"/>
          <w:szCs w:val="28"/>
        </w:rPr>
        <w:t>2014 год -  3542 человека, что составляет 29,3% жителей района;</w:t>
      </w:r>
    </w:p>
    <w:p>
      <w:pPr>
        <w:pStyle w:val="Style181"/>
        <w:widowControl/>
        <w:tabs>
          <w:tab w:val="left" w:pos="0" w:leader="none"/>
          <w:tab w:val="left" w:pos="10490" w:leader="none"/>
        </w:tabs>
        <w:spacing w:lineRule="auto" w:line="276"/>
        <w:ind w:firstLine="567"/>
        <w:rPr/>
      </w:pPr>
      <w:r>
        <w:rPr>
          <w:rStyle w:val="FontStyle52"/>
          <w:sz w:val="28"/>
          <w:szCs w:val="28"/>
        </w:rPr>
        <w:t>2015 год -  3974 человека, что составляет 33,3% жителей района.</w:t>
      </w:r>
    </w:p>
    <w:p>
      <w:pPr>
        <w:pStyle w:val="Style181"/>
        <w:widowControl/>
        <w:tabs>
          <w:tab w:val="left" w:pos="0" w:leader="none"/>
          <w:tab w:val="left" w:pos="10490" w:leader="none"/>
        </w:tabs>
        <w:spacing w:lineRule="auto" w:line="276"/>
        <w:ind w:firstLine="567"/>
        <w:rPr/>
      </w:pPr>
      <w:r>
        <w:rPr>
          <w:rStyle w:val="FontStyle52"/>
          <w:sz w:val="28"/>
          <w:szCs w:val="28"/>
        </w:rPr>
        <w:t>2016 год – 4346 человека, что составляет 37% жителей района.</w:t>
      </w:r>
    </w:p>
    <w:p>
      <w:pPr>
        <w:pStyle w:val="Style181"/>
        <w:widowControl/>
        <w:tabs>
          <w:tab w:val="left" w:pos="0" w:leader="none"/>
          <w:tab w:val="left" w:pos="10490" w:leader="none"/>
        </w:tabs>
        <w:spacing w:lineRule="auto" w:line="276"/>
        <w:ind w:firstLine="567"/>
        <w:rPr/>
      </w:pPr>
      <w:r>
        <w:rPr>
          <w:rStyle w:val="FontStyle52"/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2017 года –  37% жителей района занимаются физической культурой и спортом (4419 человек). </w:t>
      </w:r>
    </w:p>
    <w:p>
      <w:pPr>
        <w:pStyle w:val="Style181"/>
        <w:widowControl/>
        <w:tabs>
          <w:tab w:val="left" w:pos="0" w:leader="none"/>
          <w:tab w:val="left" w:pos="10490" w:leader="none"/>
        </w:tabs>
        <w:spacing w:lineRule="auto" w:line="276"/>
        <w:ind w:firstLine="567"/>
        <w:rPr>
          <w:rStyle w:val="FontStyle52"/>
          <w:sz w:val="28"/>
          <w:szCs w:val="28"/>
        </w:rPr>
      </w:pPr>
      <w:r>
        <w:rPr>
          <w:sz w:val="28"/>
          <w:szCs w:val="28"/>
        </w:rPr>
        <w:t>Детско – юношеский спорт – особая статья в физической деятельности. Более 1200 учащихся занимаются в различных секциях, 387 из них целенаправленно тренируются в детско-юношеской спортивной школе и 528 на ФОКе «Жемчужина».</w:t>
      </w:r>
    </w:p>
    <w:p>
      <w:pPr>
        <w:pStyle w:val="Normal"/>
        <w:spacing w:lineRule="auto" w:line="276"/>
        <w:ind w:firstLine="567"/>
        <w:jc w:val="both"/>
        <w:rPr>
          <w:rStyle w:val="FontStyle14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Успешное участие района в жилищных программах позволяет улучшать условия жизни различных категорий граждан и является основным приоритетным направлением работы администрации </w:t>
      </w:r>
      <w:r>
        <w:rPr>
          <w:rStyle w:val="FontStyle14"/>
          <w:b w:val="false"/>
          <w:sz w:val="28"/>
          <w:szCs w:val="28"/>
        </w:rPr>
        <w:t xml:space="preserve">в </w:t>
      </w:r>
      <w:r>
        <w:rPr>
          <w:rStyle w:val="FontStyle14"/>
          <w:rFonts w:cs="Times New Roman"/>
          <w:b w:val="false"/>
          <w:sz w:val="28"/>
          <w:szCs w:val="28"/>
        </w:rPr>
        <w:t>жилищном строительстве.</w:t>
      </w:r>
    </w:p>
    <w:p>
      <w:pPr>
        <w:pStyle w:val="Style110"/>
        <w:widowControl/>
        <w:spacing w:lineRule="auto" w:line="276" w:before="67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Важнейшие вопросы, обеспечивающие жизнедеятельность района, решались предприятиями ЖКХ: благоустройство, водоснабжение, капитальный ремонт жилого фонда и теплоснабжение.</w:t>
      </w:r>
      <w:r>
        <w:rPr>
          <w:rFonts w:cs="Times New Roman" w:ascii="Times New Roman" w:hAnsi="Times New Roman"/>
          <w:szCs w:val="28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года устойчивым было электроснабжение района, сохранена маршрутная сеть пассажирского автотранспорта. 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В 2017 году противопожарной службой района большое внимание уделялось вопросам проведения профилактической работы по предупреждению пожаров, укреплению материально – технической базы и повышения боевой готовности гарнизона пожарной охраны Шарангского района. На основании выше изложенного Земское собрание  решило </w:t>
      </w:r>
      <w:r>
        <w:rPr>
          <w:b/>
          <w:sz w:val="28"/>
          <w:szCs w:val="28"/>
        </w:rPr>
        <w:t>:</w:t>
      </w:r>
    </w:p>
    <w:p>
      <w:pPr>
        <w:pStyle w:val="ConsPlus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Отчет главы администрации о работе  за 2017 год принять к сведению.</w:t>
      </w:r>
    </w:p>
    <w:p>
      <w:pPr>
        <w:pStyle w:val="ConsPlus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2.Признать работу администрации района за 2017 год  удовлетворительной.</w:t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Опубликовать отчет в средствах массовой информации.</w:t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местного самоуправления                                          Н.П.Филимонов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Без интервала Знак"/>
    <w:basedOn w:val="Style11"/>
    <w:qFormat/>
    <w:rPr>
      <w:sz w:val="24"/>
      <w:szCs w:val="24"/>
      <w:lang w:val="ru-RU" w:bidi="ar-SA"/>
    </w:rPr>
  </w:style>
  <w:style w:type="character" w:styleId="FontStyle14">
    <w:name w:val="Font Style14"/>
    <w:basedOn w:val="Style11"/>
    <w:qFormat/>
    <w:rPr>
      <w:rFonts w:ascii="Georgia" w:hAnsi="Georgia" w:cs="Georgia"/>
      <w:b/>
      <w:bCs/>
      <w:sz w:val="22"/>
      <w:szCs w:val="22"/>
    </w:rPr>
  </w:style>
  <w:style w:type="character" w:styleId="FontStyle52">
    <w:name w:val="Font Style52"/>
    <w:basedOn w:val="Style11"/>
    <w:qFormat/>
    <w:rPr>
      <w:rFonts w:ascii="Times New Roman" w:hAnsi="Times New Roman" w:cs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9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110">
    <w:name w:val="Style1"/>
    <w:basedOn w:val="Normal"/>
    <w:qFormat/>
    <w:pPr>
      <w:widowControl w:val="false"/>
      <w:autoSpaceDE w:val="false"/>
    </w:pPr>
    <w:rPr>
      <w:rFonts w:ascii="Georgia" w:hAnsi="Georgia" w:cs="Georgia"/>
      <w:sz w:val="24"/>
      <w:szCs w:val="24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LibreOffice/6.0.1.1$Windows_X86_64 LibreOffice_project/60bfb1526849283ce2491346ed2aa51c465abfe6</Application>
  <Pages>3</Pages>
  <Words>643</Words>
  <Characters>4376</Characters>
  <CharactersWithSpaces>5064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2018-02-15T13:37:00Z</dcterms:created>
  <dc:creator>Катышева Е. В.</dc:creator>
  <dc:description/>
  <cp:keywords/>
  <dc:language>ru-RU</dc:language>
  <cp:lastModifiedBy>Bill Gates</cp:lastModifiedBy>
  <cp:lastPrinted>2018-02-15T15:53:00Z</cp:lastPrinted>
  <dcterms:modified xsi:type="dcterms:W3CDTF">2018-02-26T10:15:00Z</dcterms:modified>
  <cp:revision>9</cp:revision>
  <dc:subject/>
  <dc:title>ПОСТАНОВЛЕНИЕ</dc:title>
</cp:coreProperties>
</file>