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.07.2019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369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/>
        <w:ind w:left="1020" w:right="1077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21.08.2017 года № 414 «Об утверждении </w:t>
      </w:r>
      <w:r>
        <w:rPr>
          <w:b/>
          <w:sz w:val="28"/>
          <w:szCs w:val="28"/>
        </w:rPr>
        <w:t>муниципальной программы «Пожарная безопасность объектов и населенных пунктов Шарангского муниципального района на 2018-2020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 xml:space="preserve">решением Земского собрания от 26.12.2018 года № 31 «О районном бюджете на 2019 год и плановый период 2020-2021 годов» </w:t>
      </w:r>
      <w:r>
        <w:rPr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</w:t>
      </w:r>
      <w:r>
        <w:rPr>
          <w:rFonts w:eastAsia="Calibri"/>
          <w:b/>
          <w:bCs/>
          <w:sz w:val="28"/>
          <w:szCs w:val="28"/>
        </w:rPr>
        <w:t>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 xml:space="preserve">1. </w:t>
      </w: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 xml:space="preserve">от 21.08.2017 года № 414 «Об утверждении </w:t>
      </w:r>
      <w:r>
        <w:rPr>
          <w:sz w:val="28"/>
          <w:szCs w:val="28"/>
        </w:rPr>
        <w:t>муниципальной программы «Пожарная безопасность объектов и населенных пунктов Шарангского муниципального района на 2018-2020 годы» (далее соответственно- постановление, муниципальная программа):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муниципальной программе, утвержденной постановлением: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1.1.1. В разделе 1 «</w:t>
      </w:r>
      <w:r>
        <w:rPr>
          <w:sz w:val="28"/>
          <w:szCs w:val="28"/>
        </w:rPr>
        <w:t>Паспорт программы» пункт 1.9.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«1.9. Объемы и источники финансирования программы.</w:t>
      </w:r>
    </w:p>
    <w:tbl>
      <w:tblPr>
        <w:tblW w:w="936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2835"/>
        <w:gridCol w:w="1560"/>
        <w:gridCol w:w="1702"/>
        <w:gridCol w:w="1559"/>
        <w:gridCol w:w="1704"/>
      </w:tblGrid>
      <w:tr>
        <w:trPr>
          <w:trHeight w:val="400" w:hRule="atLeast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Годы </w:t>
            </w:r>
          </w:p>
        </w:tc>
      </w:tr>
      <w:tr>
        <w:trPr>
          <w:trHeight w:val="600" w:hRule="atLeast"/>
        </w:trPr>
        <w:tc>
          <w:tcPr>
            <w:tcW w:w="28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>
        <w:trPr/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Федеральный бюджет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Областной бюджет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Районный бюджет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7558,1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18928,5</w:t>
            </w:r>
          </w:p>
        </w:tc>
      </w:tr>
      <w:tr>
        <w:trPr/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Прочие источники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7558,1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18928,5</w:t>
            </w:r>
          </w:p>
        </w:tc>
      </w:tr>
    </w:tbl>
    <w:p>
      <w:pPr>
        <w:pStyle w:val="Normal"/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».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16384"/>
        </w:sectPr>
        <w:pStyle w:val="Normal"/>
        <w:spacing w:lineRule="auto" w:line="360"/>
        <w:ind w:left="0" w:right="0" w:firstLine="709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«Текст программы» пункты 2.5., 2.6.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>
          <w:sz w:val="28"/>
        </w:rPr>
      </w:pPr>
      <w:r>
        <w:rPr>
          <w:sz w:val="28"/>
          <w:szCs w:val="28"/>
        </w:rPr>
        <w:t>«2.5. Система программных мероприятий.</w:t>
      </w:r>
    </w:p>
    <w:tbl>
      <w:tblPr>
        <w:tblW w:w="15480" w:type="dxa"/>
        <w:jc w:val="left"/>
        <w:tblInd w:w="45" w:type="dxa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630"/>
        <w:gridCol w:w="3510"/>
        <w:gridCol w:w="1245"/>
        <w:gridCol w:w="2040"/>
        <w:gridCol w:w="1305"/>
        <w:gridCol w:w="1020"/>
        <w:gridCol w:w="1530"/>
        <w:gridCol w:w="1485"/>
        <w:gridCol w:w="1350"/>
        <w:gridCol w:w="1365"/>
      </w:tblGrid>
      <w:tr>
        <w:trPr/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объем финансирования, тыс. руб.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548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Формирование навыков предупреждения и поведения населения Шарангского муниципального района в чрезвычайных ситуациях</w:t>
            </w:r>
          </w:p>
        </w:tc>
      </w:tr>
      <w:tr>
        <w:trPr>
          <w:trHeight w:val="211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наглядных материалов на противопожарную тематику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2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бланков для проведения пожарно-профилактической работы «обследование жилищного фонда»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 Шаранга (по согласованию)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48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Создание необходимых предпосылок для укрепления пожарной безопасности населенных пунктов Шарангского муниципального района</w:t>
            </w:r>
          </w:p>
        </w:tc>
      </w:tr>
      <w:tr>
        <w:trPr/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пожарных гидрантов и водопроводных колодцев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минерализированных полос (опашка)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9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забора воды (углубление дна, очистка и обустройство пожарных водоемов)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5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1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противопожаных емкостей 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подразделений муниципальной пожарной охраны техническим вооружением (пожарные мотопомпы) 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подразделений муниципальной пожарной охраны пожарно-техническим вооружением (пожарные рукава диаметром 51 мм)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подразделений муниципальной пожарной охраны боевой одеждой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3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9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7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подразделений муниципальной пожарной охраны пожарно-техническим вооружением (пожарные рукава диаметром 66 мм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0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6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17855,8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17855,8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3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5370,2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5370,2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7115,4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7115,4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7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5370,2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5370,2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автономных пожарных извещателей населению относящемуся к «группе риска»: многодетным семьям; одиноким пенсионерам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8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63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проектно-сметной документации и проведение достоверности сметной стоимости по объектам противопожарной безопасности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8" w:hRule="atLeast"/>
        </w:trPr>
        <w:tc>
          <w:tcPr>
            <w:tcW w:w="63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3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задаче 2 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18853,5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18853,5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7533,1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48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3 Развитие добровольной пожарной охраны на территории Шарангского муниципального района</w:t>
            </w:r>
          </w:p>
        </w:tc>
      </w:tr>
      <w:tr>
        <w:trPr/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страхование членов добровольной пожарной охраны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подразделений ДПО медицинскими укладками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2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7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5" w:hRule="atLeast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добровольных формирований повседневной специальной одеждой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7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6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18928,5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18928,5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7558,1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7558,1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2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630" w:right="623" w:header="1134" w:top="1648" w:footer="0" w:bottom="617" w:gutter="0"/>
          <w:pgNumType w:fmt="decimal"/>
          <w:formProt w:val="false"/>
          <w:textDirection w:val="lrTb"/>
        </w:sectPr>
        <w:pStyle w:val="Normal"/>
        <w:widowControl w:val="false"/>
        <w:spacing w:lineRule="auto" w:line="360"/>
        <w:ind w:firstLine="54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2.6. Ресурсное обеспечение программы.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Ресурсы, необходимые для реализации мероприятий муниципальной программы, представляются в разрезе мероприятий и в целом по программе в соответствии с представленной ниже табличной формой.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tbl>
      <w:tblPr>
        <w:tblW w:w="952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1305"/>
        <w:gridCol w:w="1590"/>
        <w:gridCol w:w="1185"/>
        <w:gridCol w:w="1590"/>
        <w:gridCol w:w="1365"/>
        <w:gridCol w:w="1245"/>
        <w:gridCol w:w="1245"/>
      </w:tblGrid>
      <w:tr>
        <w:trPr>
          <w:trHeight w:val="540" w:hRule="atLeast"/>
        </w:trPr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реали-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6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Объем финансирования, тыс. руб. </w:t>
            </w:r>
          </w:p>
        </w:tc>
      </w:tr>
      <w:tr>
        <w:trPr>
          <w:trHeight w:val="540" w:hRule="atLeast"/>
        </w:trPr>
        <w:tc>
          <w:tcPr>
            <w:tcW w:w="13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18853,5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18853,5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5660,2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5660,2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7533,1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7533,1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5660,2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5660,2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13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5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18928,5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18928,5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7558,1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7558,1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5685,2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right"/>
        <w:rPr/>
      </w:pPr>
      <w:r>
        <w:rPr>
          <w:sz w:val="28"/>
          <w:szCs w:val="28"/>
        </w:rPr>
        <w:t>».</w:t>
      </w:r>
    </w:p>
    <w:p>
      <w:pPr>
        <w:pStyle w:val="Normal"/>
        <w:widowControl w:val="false"/>
        <w:spacing w:lineRule="auto" w:line="360"/>
        <w:ind w:firstLine="567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2. Настоящее постановление вступает в силу со дня принятия.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LibreOffice/6.2.4.2$Windows_x86 LibreOffice_project/2412653d852ce75f65fbfa83fb7e7b669a126d64</Application>
  <Pages>6</Pages>
  <Words>958</Words>
  <Characters>5498</Characters>
  <CharactersWithSpaces>6086</CharactersWithSpaces>
  <Paragraphs>457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2019-07-18T13:32:52Z</cp:lastPrinted>
  <dcterms:modified xsi:type="dcterms:W3CDTF">2019-07-18T13:41:04Z</dcterms:modified>
  <cp:revision>69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