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21.08.2017 года № 417 «Об утверждении Муниципальной программы «Экология 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– 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В соответствии с постановлением Правительства Нижегородской области от 16.07.2019г № 444 «О предоставлении межбюджетных трансфертов бюджетам муниципальных районов (городских округов) Нижегородской области на реализацию полномочий в области обращения с твердыми коммунальными отходами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417 «Об утверждении Муниципальной программы «Экология Шарангского муниципального района на 2018-2020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64" w:type="dxa"/>
        <w:jc w:val="left"/>
        <w:tblInd w:w="-2" w:type="dxa"/>
        <w:tblCellMar>
          <w:top w:w="0" w:type="dxa"/>
          <w:left w:w="32" w:type="dxa"/>
          <w:bottom w:w="0" w:type="dxa"/>
          <w:right w:w="40" w:type="dxa"/>
        </w:tblCellMar>
      </w:tblPr>
      <w:tblGrid>
        <w:gridCol w:w="2145"/>
        <w:gridCol w:w="2160"/>
        <w:gridCol w:w="1305"/>
        <w:gridCol w:w="1185"/>
        <w:gridCol w:w="1125"/>
        <w:gridCol w:w="1744"/>
      </w:tblGrid>
      <w:tr>
        <w:trPr>
          <w:trHeight w:val="428" w:hRule="exact"/>
        </w:trPr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>
        <w:trPr>
          <w:trHeight w:val="878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spacing w:val="-1"/>
                <w:sz w:val="24"/>
                <w:szCs w:val="24"/>
              </w:rPr>
              <w:t xml:space="preserve">Всего за период </w:t>
            </w:r>
            <w:r>
              <w:rPr>
                <w:sz w:val="24"/>
                <w:szCs w:val="24"/>
              </w:rPr>
              <w:t>реализации Программы</w:t>
            </w:r>
          </w:p>
        </w:tc>
      </w:tr>
      <w:tr>
        <w:trPr>
          <w:trHeight w:val="630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 xml:space="preserve">Всего, в том </w:t>
            </w:r>
            <w:r>
              <w:rPr>
                <w:spacing w:val="-2"/>
                <w:sz w:val="24"/>
                <w:szCs w:val="24"/>
              </w:rPr>
              <w:t>числе (тыс. руб.)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3397,871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5155,971</w:t>
            </w:r>
          </w:p>
        </w:tc>
      </w:tr>
      <w:tr>
        <w:trPr>
          <w:trHeight w:val="584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2655,56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2655,56</w:t>
            </w:r>
          </w:p>
        </w:tc>
      </w:tr>
      <w:tr>
        <w:trPr>
          <w:trHeight w:val="564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99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742,311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2500,411</w:t>
            </w:r>
          </w:p>
        </w:tc>
      </w:tr>
    </w:tbl>
    <w:p>
      <w:pPr>
        <w:pStyle w:val="Normal"/>
        <w:spacing w:lineRule="auto" w:line="360"/>
        <w:ind w:left="8640" w:firstLine="72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1.1.2. В разделе 2 «Текст программы»: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-пункт 2.5.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</w:t>
      </w:r>
    </w:p>
    <w:tbl>
      <w:tblPr>
        <w:tblW w:w="9525" w:type="dxa"/>
        <w:jc w:val="left"/>
        <w:tblInd w:w="52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0"/>
        <w:gridCol w:w="1980"/>
        <w:gridCol w:w="1350"/>
        <w:gridCol w:w="1470"/>
        <w:gridCol w:w="1200"/>
        <w:gridCol w:w="840"/>
        <w:gridCol w:w="1080"/>
        <w:gridCol w:w="795"/>
      </w:tblGrid>
      <w:tr>
        <w:trPr/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3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622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Исполнители мероприятий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Объемы финансирования (по годам в разрезе источников), тыс.руб.</w:t>
            </w:r>
          </w:p>
        </w:tc>
      </w:tr>
      <w:tr>
        <w:trPr/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2020г.</w:t>
            </w:r>
          </w:p>
        </w:tc>
      </w:tr>
      <w:tr>
        <w:trPr>
          <w:trHeight w:val="329" w:hRule="atLeast"/>
        </w:trPr>
        <w:tc>
          <w:tcPr>
            <w:tcW w:w="5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-8"/>
              </w:rPr>
            </w:pPr>
            <w:r>
              <w:rPr>
                <w:spacing w:val="-8"/>
              </w:rPr>
              <w:t>Цель Программы:</w:t>
            </w:r>
          </w:p>
          <w:p>
            <w:pPr>
              <w:pStyle w:val="Normal"/>
              <w:rPr/>
            </w:pPr>
            <w:r>
              <w:rPr/>
              <w:t xml:space="preserve">Совершенствование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среды в интересах настоящего и будущих поколений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5155,971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3397,871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932,0</w:t>
            </w:r>
          </w:p>
        </w:tc>
      </w:tr>
      <w:tr>
        <w:trPr>
          <w:trHeight w:val="558" w:hRule="atLeast"/>
        </w:trPr>
        <w:tc>
          <w:tcPr>
            <w:tcW w:w="561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2655,56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2" w:hRule="atLeast"/>
        </w:trPr>
        <w:tc>
          <w:tcPr>
            <w:tcW w:w="561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</w:rPr>
            </w:pPr>
            <w:r>
              <w:rPr>
                <w:spacing w:val="-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5" w:hRule="atLeast"/>
        </w:trPr>
        <w:tc>
          <w:tcPr>
            <w:tcW w:w="561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</w:rPr>
            </w:pPr>
            <w:r>
              <w:rPr>
                <w:spacing w:val="-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742,311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932,0</w:t>
            </w:r>
          </w:p>
        </w:tc>
      </w:tr>
      <w:tr>
        <w:trPr>
          <w:trHeight w:val="552" w:hRule="atLeast"/>
        </w:trPr>
        <w:tc>
          <w:tcPr>
            <w:tcW w:w="561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0" w:hRule="atLeast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>Задача 1</w:t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Рассмотрение актуальных вопросов экологической безопасности, возникающей в ходе хозяйствующей деятельности организаций Шарангского муниципального района </w:t>
            </w:r>
          </w:p>
        </w:tc>
      </w:tr>
      <w:tr>
        <w:trPr>
          <w:trHeight w:val="562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заседаний комиссии по экологической безопасности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2018 – 2020 г.г. ежеквартально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2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03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Участие в конкурсе ЭКО-посёлок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2018 – 2020г.г.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2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Охрана водного бассейна и земель от загрязнения сточными водами</w:t>
            </w:r>
          </w:p>
        </w:tc>
      </w:tr>
      <w:tr>
        <w:trPr>
          <w:trHeight w:val="412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rPr/>
            </w:pPr>
            <w:r>
              <w:rPr/>
              <w:t>Очистка водоемов и прибрежных зон от бытового мусора в черте населенных пунктов и местах массового посещения людей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2018г – 2020г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jc w:val="center"/>
              <w:rPr/>
            </w:pPr>
            <w:r>
              <w:rPr/>
              <w:t>администрация района, администрации поселений (по согласованию)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621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9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3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0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Охрана окружающей среды от загрязнения отходами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обследования территории Шарангского муниципального района в целях выявления мест несанкционированного размещения твердых коммунальных отходов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Ежегодно с апреля по октябрь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Комиссия по предупреждению и ликвидации несанкционированных свалок ТБО на территории Шарангского муниципального района (далее –Комиссия), администрации поселений района (по согласованию)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33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Ликвидация свалок и объектов размещения отходов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постоянно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Администрация района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431,625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431,625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86,325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7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саженцев для озеленения территорий р.п. Шаранга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 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3.4.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Работа с населением района в целях предупреждения и недопущения образования свалок ТБО: размещение в районной газете «Знамя победы» публикаций, видеороликов на телевидении «Истоки», проведение агитационных бесед с населением, организация сходов граждан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pacing w:val="-1"/>
              </w:rPr>
            </w:pPr>
            <w:r>
              <w:rPr>
                <w:spacing w:val="-1"/>
              </w:rPr>
              <w:t>Комиссия, администрации поселений района (по согласованию), МП районная газета «Знамя победы», МП Шарангское телевидение «Истоки»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7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Работа с учащимися образовательных учреждений района с целью формирования экологической культуры школьников: проведение тематических классных часов, бесед, районных акций «Чистый берег», «Чистая обочина» с участием учащихся школ; участие школьников, их родителей и учителей в международной экологической акции «Сделай мир чище», «Чистый родник»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Постоянно 2018-2020 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Проведение акций: ежегодно апрель-май-октябрь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6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6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66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69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контейнеров и (или) бункеров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2019-2020 гг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680,526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680,526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34,026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3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2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3.7.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Создание (обустройство) контейнерных площадок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2019-2020 гг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1751,32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1751,32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1663,76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8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8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33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3.8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расчету платы за негативное воздействие на окружающую среду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215,5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3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215,5</w:t>
            </w:r>
          </w:p>
        </w:tc>
      </w:tr>
      <w:tr>
        <w:trPr>
          <w:trHeight w:val="45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4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3.9.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вывозу ТКО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Администрация района, администрации поселений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134,5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134,5</w:t>
            </w:r>
          </w:p>
        </w:tc>
      </w:tr>
      <w:tr>
        <w:trPr>
          <w:trHeight w:val="19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8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утилизация промышленных .отходов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Администрация района, администрации поселений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3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3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составлению и утверждению отчета 2-ТП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91,5</w:t>
            </w:r>
          </w:p>
        </w:tc>
      </w:tr>
      <w:tr>
        <w:trPr>
          <w:trHeight w:val="42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91,5</w:t>
            </w:r>
          </w:p>
        </w:tc>
      </w:tr>
      <w:tr>
        <w:trPr>
          <w:trHeight w:val="49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65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Проведение мероприятий по очистке территории района в рамках месячника по благоустройству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2018-2020гг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Заместитель главы администрации района; администрации поселений района (по согласованию); организации, предприятия, учреждения, (по согласованию)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590,5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230,5</w:t>
            </w:r>
          </w:p>
        </w:tc>
      </w:tr>
      <w:tr>
        <w:trPr>
          <w:trHeight w:val="542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2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13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230,5</w:t>
            </w:r>
          </w:p>
        </w:tc>
      </w:tr>
      <w:tr>
        <w:trPr>
          <w:trHeight w:val="407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9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и проведение субботников по благоустройству на подведомственных территориях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2018-2020гг еженедельно с апреля по октябрь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Администрации поселений района (по согласованию), руководители предприятий, организаций, учреждений (по согласованию)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3.14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Разработка паспортов отходов 1-4 классов опасности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2019-2020 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Администрации поселений района ( по согласованию)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0" w:hRule="atLeast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№4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Экологическое образование и просвещение</w:t>
            </w:r>
          </w:p>
        </w:tc>
      </w:tr>
      <w:tr>
        <w:trPr>
          <w:trHeight w:val="468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Проведение семинаров и конференций в образовательных учреждениях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отдел образования администрации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6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методической литературы по экологическому образованию в ДОУ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отдел образования администрации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№5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Информационное обеспечение состояния окружающей среды</w:t>
            </w:r>
          </w:p>
        </w:tc>
      </w:tr>
      <w:tr>
        <w:trPr>
          <w:trHeight w:val="399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Размещение в районной газете «Знамя победы» публикаций, видеороликов на телевидении «Истоки», информацию о состоянии окружающей среды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 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Администрации поселений района (по согласованию), МП районная газета «Знамя победы», МП Шарангское телевидение «Истоки»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18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4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4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10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Изготовление и установка информационных указателей в местах массового отдыха людей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pacing w:val="-3"/>
              </w:rPr>
              <w:t>2018-2020гг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района , администрации поселений района (по согласованию)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2.7. изложить в следующей редакции:</w:t>
      </w:r>
    </w:p>
    <w:p>
      <w:pPr>
        <w:pStyle w:val="Normal"/>
        <w:numPr>
          <w:ilvl w:val="0"/>
          <w:numId w:val="0"/>
        </w:numPr>
        <w:ind w:left="709" w:hanging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«2.7. Индикаторы достижения целей 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5" w:type="dxa"/>
        <w:jc w:val="left"/>
        <w:tblInd w:w="37" w:type="dxa"/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4710"/>
        <w:gridCol w:w="1650"/>
        <w:gridCol w:w="960"/>
        <w:gridCol w:w="1125"/>
        <w:gridCol w:w="1080"/>
      </w:tblGrid>
      <w:tr>
        <w:trPr/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 Индикаторов целей программы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>
        <w:trPr>
          <w:trHeight w:val="541" w:hRule="atLeast"/>
        </w:trPr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зеленых насаждений в районе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контейнеров для ТБО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Вывоз и утилизация бытового и промышленного мусора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метров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прибрежной зоны водоемов от бытового мусора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Оборудование мест для отдыха на водоемах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обеспечение природоохранной деятельности (газетные статьи)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999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экологического образования в школах района (беседы, совместные мероприятия по уборке территорий)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434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rFonts w:eastAsia="Calibri"/>
          <w:sz w:val="28"/>
          <w:szCs w:val="28"/>
        </w:rPr>
      </w:pPr>
      <w:r>
        <w:rPr>
          <w:rFonts w:eastAsia="Calibri" w:cs="Times New Roman"/>
          <w:b w:val="false"/>
          <w:sz w:val="28"/>
          <w:szCs w:val="28"/>
        </w:rPr>
        <w:t>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LibreOffice/6.2.5.2$Windows_X86_64 LibreOffice_project/1ec314fa52f458adc18c4f025c545a4e8b22c159</Application>
  <Pages>7</Pages>
  <Words>1409</Words>
  <Characters>8257</Characters>
  <CharactersWithSpaces>9072</CharactersWithSpaces>
  <Paragraphs>645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2019-08-06T08:18:22Z</cp:lastPrinted>
  <dcterms:modified xsi:type="dcterms:W3CDTF">2019-08-06T08:19:09Z</dcterms:modified>
  <cp:revision>69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