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1" t="-302" r="-291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28.10.2019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росту доходов, оптимизации расходов и совершенствованию долговой политики Шарангского муниципального района</w:t>
      </w:r>
    </w:p>
    <w:p>
      <w:pPr>
        <w:pStyle w:val="Normal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  <w:t>на 2020-2024 годы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обеспечению сбалансированности бюджета Шарангского муниципального района:</w:t>
      </w:r>
    </w:p>
    <w:p>
      <w:pPr>
        <w:pStyle w:val="Style32"/>
        <w:spacing w:lineRule="auto" w:line="360"/>
        <w:ind w:left="0" w:firstLine="709"/>
        <w:jc w:val="both"/>
        <w:rPr/>
      </w:pPr>
      <w:r>
        <w:rPr>
          <w:sz w:val="28"/>
          <w:szCs w:val="28"/>
        </w:rPr>
        <w:t>1. Утвердить прилагаемый План мероприятий по росту доходов, оптимизации расходов и совершенствованию долговой политики Шарангского муниципального района на 2020-2024 годы (далее- План).</w:t>
      </w:r>
    </w:p>
    <w:p>
      <w:pPr>
        <w:pStyle w:val="Style32"/>
        <w:spacing w:lineRule="auto" w:line="360"/>
        <w:ind w:left="0" w:firstLine="709"/>
        <w:jc w:val="both"/>
        <w:rPr/>
      </w:pPr>
      <w:r>
        <w:rPr>
          <w:sz w:val="28"/>
          <w:szCs w:val="28"/>
        </w:rPr>
        <w:t>2.Исполнительно-распорядительным органам Шарангского муниципального района ежеквартально направлять в финансовое управление администрации Шарангского муниципального района отчет о выполнении Плана по итогам I квартала, I полугодия, 9 месяцев и отчетного года – не позднее 10 числа месяца, следующего за отчетным периодом.</w:t>
      </w:r>
    </w:p>
    <w:p>
      <w:pPr>
        <w:pStyle w:val="Style32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3.Финансовому управлению администрации Шарангского муниципального района ежеквартально формировать сводный отчет о выполнении Плана по итогам I квартала, I полугодия, 9 месяцев и отчетного года - не позднее 15 числа месяца, следующего за отчетным периодом, и </w:t>
      </w:r>
    </w:p>
    <w:p>
      <w:pPr>
        <w:pStyle w:val="Style32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его главе администрации.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/>
      </w:pPr>
      <w:r>
        <w:rPr/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/>
      </w:pPr>
      <w:r>
        <w:rPr/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/>
      </w:pPr>
      <w:r>
        <w:rPr/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/>
      </w:pPr>
      <w:r>
        <w:rPr/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  <w:t>Е.С. Устюжанина</w:t>
      </w:r>
    </w:p>
    <w:p>
      <w:pPr>
        <w:pStyle w:val="14"/>
        <w:jc w:val="left"/>
        <w:rPr>
          <w:b w:val="false"/>
          <w:b w:val="false"/>
          <w:bCs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  <w:t>2-12-40</w:t>
      </w:r>
    </w:p>
    <w:p>
      <w:pPr>
        <w:pStyle w:val="Style31"/>
        <w:rPr>
          <w:b/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1" w:header="825" w:top="1050" w:footer="0" w:bottom="983" w:gutter="0"/>
          <w:pgNumType w:fmt="decimal"/>
          <w:formProt w:val="false"/>
          <w:textDirection w:val="lrTb"/>
          <w:docGrid w:type="default" w:linePitch="360" w:charSpace="16384"/>
        </w:sectPr>
        <w:pStyle w:val="Style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орг.- прав. отделом</w:t>
      </w:r>
    </w:p>
    <w:p>
      <w:pPr>
        <w:pStyle w:val="Normal"/>
        <w:ind w:left="9072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ind w:left="9072" w:hanging="0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>
      <w:pPr>
        <w:pStyle w:val="Normal"/>
        <w:ind w:left="9072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ind w:left="9072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28.10.2019 г. № 87</w:t>
      </w:r>
    </w:p>
    <w:p>
      <w:pPr>
        <w:pStyle w:val="Normal"/>
        <w:ind w:left="907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росту доходов, оптимизации расходов и совершенствованию долговой политики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Шарангского муниципального района на 2020-2024 годы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5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664"/>
        <w:gridCol w:w="26"/>
        <w:gridCol w:w="1527"/>
        <w:gridCol w:w="1804"/>
        <w:gridCol w:w="314"/>
        <w:gridCol w:w="1506"/>
        <w:gridCol w:w="742"/>
        <w:gridCol w:w="23"/>
        <w:gridCol w:w="809"/>
        <w:gridCol w:w="777"/>
        <w:gridCol w:w="85"/>
        <w:gridCol w:w="767"/>
        <w:gridCol w:w="94"/>
        <w:gridCol w:w="699"/>
      </w:tblGrid>
      <w:tr>
        <w:trPr>
          <w:trHeight w:val="330" w:hRule="atLeast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>
        <w:trPr>
          <w:trHeight w:val="330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/>
        <w:tc>
          <w:tcPr>
            <w:tcW w:w="13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.Меры по увеличению поступлений налоговых и неналоговых доходов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эффективности налоговых льгот, предоставляемых в соответствии с решениями представительных органов муниципальных образований Шарангского района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1.2.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 (в том числе: уточнение сведений об объектах недвижимости; представление сведений о земельных участках и иных объектах недвижимости; проведение муниципального земельного контроля; выявление собственников земельных участков и другого недвижимого имущества и привлечение их к налогообложению; содействие в оформлении физическими лицами прав собственности на земельные участки и имущество)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181" w:hanging="181"/>
              <w:jc w:val="center"/>
              <w:rPr/>
            </w:pPr>
            <w:r>
              <w:rPr>
                <w:sz w:val="24"/>
                <w:szCs w:val="24"/>
              </w:rPr>
              <w:t>В течение 2020-2024 годов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Отдел экономики и имущественных отношений администрации Шарангского муниципального района, органы местного самоуправления поселений Шарангского муниципального района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налоговых доходов консолидированного бюджета Шарангского района по сравнению с предыдущим годом, млн. рублей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муниципального имущества Шарангского муниципального района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необходимой работы по принятию в казну Шарангского муниципального района имущества, закрепленного за муниципальными предприятиями и муниципальными учреждениями Шарангского района и неиспользуемого ими в уставных целях, для дальнейшей его продажи или сдачи в аренду в соответствии с действующим законодательством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 полном объеме программы приватизации муниципального имущества, оптимизация структуры муниципальной собственности путем приватизации имущества, неиспользуемого для обеспечения полномочий Шарангского муниципального района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доходов от продажи имущества, млн.рублей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арендной платы за земельные участки и объекты нежилого фонда на уровне планируемого индекса потребительских цен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IV квартале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доходов от сдачи в аренду имущества и земельных участков, млн.рублей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Проведение заседаний межведомственной комиссии администрации Шарангского района, направленной на предотвращение фактов выплаты хозяйствующими субъектами малого и среднего предпринимательства «теневой» заработной платы и занижения официального фонда оплаты труда, на увеличение размера заработной платы работающих и сохранение действующих рабочих мест, по предприятиям Шарангского района – на недопущение роста задолженности перед бюджетом и погашению имеющейся задолженности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взаимодействия с Управлением Федеральной налоговой службы, Управлением Федеральной службы судебных приставов по вопросам повышения собираемости налоговых доходов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налоговых доходов в консолидированный бюджет и сокращение задолженности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3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Программа по оптимизации расходов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3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Муниципальная служба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Соблюдение нормативов расходов на содержание органов местного самоуправления, установленных постановлением Правительства Нижегородской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2.1.2. 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Исполнительно-распорядительные органы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запрета на увеличение предельной численности работников местного самоуправления, за исключением случаев увеличения численности работников органов МСУ, связанных с перераспределением полномочий между уровнями власти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правового акта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4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2.2.Оптимизация бюджетной сети</w:t>
            </w:r>
          </w:p>
        </w:tc>
      </w:tr>
      <w:tr>
        <w:trPr>
          <w:trHeight w:val="3103" w:hRule="atLeast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"дорожными картами" - количество обучающихся (воспитанников) на одного педагогического работника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Управление образования и молодежной политики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Шарангского муниципального района,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Шарангского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(воспитанников) на одного педагогического работника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дошкольных образовательных организациях</w:t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>
        <w:trPr>
          <w:trHeight w:val="7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общеобразовательных организациях</w:t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>
        <w:trPr>
          <w:trHeight w:val="70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- в организациях дополнительного образования</w:t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65,07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65,07</w:t>
            </w:r>
          </w:p>
        </w:tc>
      </w:tr>
      <w:tr>
        <w:trPr>
          <w:trHeight w:val="562" w:hRule="atLeast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оценки возможной оптимизации сети учреждений социальной сферы Шарангского муниципального района путем реорганизации, ликвидации или преобразования муниципальных учреждений в организации иных организационно-правовых форм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установленного удельного веса численности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Шарангского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 дошкольных образовательных организациях:</w:t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>
        <w:trPr>
          <w:trHeight w:val="562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 общеобразовательных организациях</w:t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3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2.3.Совершенствование системы закупок для муниципальных нужд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нормативных затрат на оказание муниципальных услуг, нормативных затрат, связанных с выполнением работ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бюджетными и автономными учреждениями Шарангского муниципального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сентября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муниципальных правовых актов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возврата в районный бюджет средств в объеме остатков субсидий, предоставленных муниципальным бюджетным и автономным учреждениям Шарангского муниципального района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на основании отчета о выполнении муниципального задания, представленного органом, осуществляющим функции и полномочия учредителей в отношении бюджетных и автономных учреждений Шарангского муниципального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3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2.4.Оптимизация инвестиционных расходов, субсидий юридическим лицам и планирование бюджета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порядка выделения субсидий юридическим лицам, с установлением в качестве обязательного условия для получения субсидии отсутствия задолженности по налогам в бюджеты всех уровней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взаимодействия с органами исполнительной власти Нижегородской области по подготовке, направлению и сопровождению заявок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Шарангского муниципального района на включение объектов и мероприятий Шарангского муниципального района в федеральные целевые программы,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Адресную инвестиционную программу Нижегородской области, государственные программы Нижегородской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4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2.5. Планирование районного бюджета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хода реализации и оценки эффективности муниципальных программ Шарангского муниципального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Актуализация муниципальных правовых актов: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постановление администрации Шарангского муниципального района от 12 ноября 2013 г. N 303 «Об утверждении порядка разработки, реализации и оценки эффективности муниципальных программ;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Шарангского муниципального района «Об утверждении реестра муниципальных программ» (ежегодно).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2.6.Совершенствование контрольной деятельности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внутреннего муниципального финансового контроля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контрольных мероприятий к запланированным, %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2.6.2.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требований законодательства о контрактной системе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контрольных мероприятий к запланированным, %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&gt;90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Проведение анализа деятельности главных администраторов средств районного бюджета: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осуществлению внутреннего финансового контроля и внутреннего финансового аудита;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по осуществлению контроля за деятельностью муниципальных автономных, бюджетных и казенных учреждений Шарангского муниципального района (контроль учредителя);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осуществлению ведомственного контроля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2020 - 2024 годов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Охват главных администраторов средств районного бюджета, в отношении которых проведен анализ, %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&gt;20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&gt;20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&gt;20</w:t>
            </w:r>
          </w:p>
        </w:tc>
      </w:tr>
      <w:tr>
        <w:trPr/>
        <w:tc>
          <w:tcPr>
            <w:tcW w:w="13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2.7. Мероприятия по совершенствованию долговой политики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2.7.1.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использования механизма привлечения бюджетных кредитов на пополнение остатков на счетах бюджета для снижения стоимости заимствований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2.7.2.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Проведение мониторинга финансового состояния организаций, получающих муниципальные гарантии Шарангского муниципального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tabs>
          <w:tab w:val="clear" w:pos="709"/>
          <w:tab w:val="left" w:pos="765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type w:val="nextPage"/>
      <w:pgSz w:orient="landscape" w:w="16838" w:h="11906"/>
      <w:pgMar w:left="981" w:right="1049" w:header="822" w:top="1418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Style17">
    <w:name w:val="Основной текст_"/>
    <w:basedOn w:val="Style14"/>
    <w:qFormat/>
    <w:rPr>
      <w:shd w:fill="FFFFFF" w:val="clear"/>
    </w:rPr>
  </w:style>
  <w:style w:type="character" w:styleId="Style18">
    <w:name w:val="Верхний колонтитул Знак"/>
    <w:basedOn w:val="Style14"/>
    <w:qFormat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9">
    <w:name w:val="Нижний колонтитул Знак"/>
    <w:basedOn w:val="Style14"/>
    <w:qFormat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6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8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30">
    <w:name w:val="Без интервала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31">
    <w:name w:val="Содержимое врезки"/>
    <w:basedOn w:val="Normal"/>
    <w:qFormat/>
    <w:pPr/>
    <w:rPr/>
  </w:style>
  <w:style w:type="paragraph" w:styleId="1">
    <w:name w:val="Основной текст1"/>
    <w:basedOn w:val="Normal"/>
    <w:qFormat/>
    <w:pPr>
      <w:widowControl w:val="false"/>
      <w:shd w:fill="FFFFFF" w:val="clear"/>
      <w:suppressAutoHyphens w:val="false"/>
    </w:pPr>
    <w:rPr>
      <w:rFonts w:ascii="Liberation Serif;Times New Roman" w:hAnsi="Liberation Serif;Times New Roman" w:eastAsia="SimSun;宋体" w:cs="Mangal"/>
      <w:color w:val="000000"/>
      <w:sz w:val="24"/>
      <w:szCs w:val="24"/>
      <w:lang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Calibri" w:hAnsi="Calibri" w:eastAsia="Times New Roman" w:cs="Calibri"/>
      <w:b/>
      <w:bCs/>
      <w:color w:val="auto"/>
      <w:sz w:val="22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2">
    <w:name w:val="Абзац списка"/>
    <w:basedOn w:val="Normal"/>
    <w:qFormat/>
    <w:pPr>
      <w:suppressAutoHyphens w:val="false"/>
      <w:spacing w:before="0" w:after="0"/>
      <w:ind w:left="720" w:hanging="0"/>
      <w:contextualSpacing/>
    </w:pPr>
    <w:rPr>
      <w:color w:val="000000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Header"/>
    <w:basedOn w:val="Style2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LibreOffice/6.3.2.2$Windows_X86_64 LibreOffice_project/98b30e735bda24bc04ab42594c85f7fd8be07b9c</Application>
  <Pages>27</Pages>
  <Words>1396</Words>
  <Characters>10972</Characters>
  <CharactersWithSpaces>12136</CharactersWithSpaces>
  <Paragraphs>246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2019-10-28T13:51:00Z</dcterms:created>
  <dc:creator>Катышева Е. В.</dc:creator>
  <dc:description/>
  <dc:language>ru-RU</dc:language>
  <cp:lastModifiedBy>Priemnaja</cp:lastModifiedBy>
  <cp:lastPrinted>2019-10-28T13:45:00Z</cp:lastPrinted>
  <dcterms:modified xsi:type="dcterms:W3CDTF">2019-10-28T13:51:00Z</dcterms:modified>
  <cp:revision>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