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443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417" w:right="1417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прогноза социально-экономического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развития Шарангского муниципального района на 2021-2025 годы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Нижегородской области от 03 марта 2015 года N 24-З "О стратегическом планировании в Нижегородской области» администрация Шарангского муниципального района </w:t>
      </w:r>
      <w:r>
        <w:rPr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прилагаемый Прогноз социально-экономического развития Шарангского муниципального района на 2021-2025 годы.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. г</w:t>
      </w:r>
      <w:r>
        <w:rPr>
          <w:sz w:val="28"/>
          <w:szCs w:val="28"/>
        </w:rPr>
        <w:t>лавы администрации</w:t>
        <w:tab/>
        <w:t>Д.О.Ожиганов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zh-CN" w:bidi="ar-SA"/>
        </w:rPr>
        <w:t>29.10.2020 г. № 443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/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keepNext w:val="true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</w:p>
    <w:p>
      <w:pPr>
        <w:pStyle w:val="1"/>
        <w:keepNext w:val="true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социально-экономического развития Шарангского муниципального района на 2021-2025 годы</w:t>
      </w:r>
    </w:p>
    <w:p>
      <w:pPr>
        <w:pStyle w:val="1"/>
        <w:spacing w:lineRule="auto" w:line="240" w:before="0" w:after="0"/>
        <w:ind w:left="0" w:right="0" w:firstLine="567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1"/>
        <w:spacing w:lineRule="auto" w:line="240" w:before="0" w:after="0"/>
        <w:ind w:left="0" w:right="0" w:firstLine="567"/>
        <w:rPr>
          <w:rFonts w:ascii="Times New Roman" w:hAnsi="Times New Roman"/>
          <w:b w:val="false"/>
          <w:b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sz w:val="24"/>
          <w:szCs w:val="24"/>
          <w:u w:val="single"/>
        </w:rPr>
        <w:t>Введение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Style19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 социально-экономического развития Шарангского муниципального района (далее-район) разработан отделом экономики и имущественных отношений администрации района. При расчетах количественных показателей использовались индексы оптовых и потребительских цен, рекомендованные Министерством экономики Нижегородской области.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сформирован в разрезе отраслей с учетом предложений отделов администрации района, а также предприятий, расположенных на территории района. Прогноз на 2021-2025 годы сформирован с учетом итогов социально-экономического развития 2019 года и 1 полугодия 2020 года.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база формирования прогноза:</w:t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статистического и налогового учета;</w:t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расчеты отделов администрации района;</w:t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расчеты предприятий.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Анализ социально-экономического развития муниципального района 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Шарангский муниципальный район на протяжении нескольких лет по своему социально-экономическому состоянию относится к группе районов со средним уровнем развития. Район является дотационным. По итогам 1 полугодия 2020 года в рейтинге муниципальных районов области Шарангский район занимает 14 место по социально-экономическому развитию (за 2019 год – 21). За 6 месяцев 2020 года поступило безвозмездных перечислений 274 766,4 тыс.руб., это на 57 900,1 тыс.руб. больше уровня прошлого года (126,2%). Доходы бюджета составили 333 827,5 тыс.руб. или 122% к уровню прошлого года.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Прогноз объема отгрузки товаров собственного производства, выполненных работ, услуг собственными силами</w:t>
      </w:r>
    </w:p>
    <w:p>
      <w:pPr>
        <w:pStyle w:val="21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оценке 2020 года, рассчитанной на основании данных отдела статистики за январь-июнь текущего года, данных отделов администрации района, предприятий района и перспективах до конца года, величина рассматриваемого показателя составит 1218,8 млн.руб., увеличившись на 3,1 % в действующих ценах. По прогнозу 2021 года данный показатель составит 1286,2 млн.руб. с ростом в действующих ценах 5,5 % .</w:t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 крупным и средним предприятиям объем отгруженной продукции, работ, услуг за 2019 год составил – 138,15 млн.руб., в 2020 году планируется 139,6 млн.руб., на 2021 год – 148,1 млн.руб., рост 106%. </w:t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rPr>
          <w:rFonts w:cs="Times New Roman"/>
          <w:i/>
          <w:i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21"/>
        <w:spacing w:lineRule="auto" w:line="24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Объем отгруженной продукции, работ, услуг (млн.руб.)</w:t>
      </w:r>
    </w:p>
    <w:p>
      <w:pPr>
        <w:pStyle w:val="21"/>
        <w:spacing w:lineRule="auto" w:line="240"/>
        <w:ind w:left="0" w:right="0" w:firstLine="567"/>
        <w:rPr>
          <w:rFonts w:cs="Times New Roman"/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object w:dxaOrig="8940" w:dyaOrig="3039">
          <v:shape id="ole_rId3" style="width:447.15pt;height:152.1pt" o:ole="">
            <v:imagedata r:id="rId4" o:title=""/>
          </v:shape>
          <o:OLEObject Type="Embed" ProgID="" ShapeID="ole_rId3" DrawAspect="Content" ObjectID="_1335151476" r:id="rId3"/>
        </w:object>
      </w:r>
    </w:p>
    <w:p>
      <w:pPr>
        <w:pStyle w:val="21"/>
        <w:spacing w:lineRule="auto" w:line="240"/>
        <w:ind w:left="0" w:right="0" w:firstLine="567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6 месяцев 2020 года наибольший удельный вес (46,4 %) в объеме отгруженной продукции, работ, услуг занимают обрабатывающие производства.</w:t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Структура отгруженной продукции, работ, услуг %</w:t>
      </w:r>
    </w:p>
    <w:p>
      <w:pPr>
        <w:pStyle w:val="21"/>
        <w:spacing w:lineRule="auto" w:line="240"/>
        <w:ind w:left="0" w:right="0"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21"/>
        <w:spacing w:lineRule="auto" w:line="240"/>
        <w:ind w:left="0" w:right="0" w:firstLine="56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object w:dxaOrig="9074" w:dyaOrig="3561">
          <v:shape id="ole_rId5" style="width:453.8pt;height:178.2pt" o:ole="">
            <v:imagedata r:id="rId6" o:title=""/>
          </v:shape>
          <o:OLEObject Type="Embed" ProgID="" ShapeID="ole_rId5" DrawAspect="Content" ObjectID="_1637300103" r:id="rId5"/>
        </w:object>
      </w:r>
    </w:p>
    <w:p>
      <w:pPr>
        <w:pStyle w:val="21"/>
        <w:spacing w:lineRule="auto" w:line="240"/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3"/>
        <w:spacing w:lineRule="auto" w:line="240" w:before="0" w:after="0"/>
        <w:ind w:left="0" w:right="0" w:firstLine="567"/>
        <w:rPr>
          <w:rFonts w:ascii="Times New Roman" w:hAnsi="Times New Roman" w:cs="Times New Roman"/>
          <w:b w:val="false"/>
          <w:b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sz w:val="24"/>
          <w:szCs w:val="24"/>
          <w:u w:val="single"/>
        </w:rPr>
        <w:t xml:space="preserve">Агропромышленный комплекс 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Особое внимание уделяется развитию агропромышленного комплекса, т.к. район является сельскохозяйственным. </w:t>
      </w:r>
      <w:r>
        <w:rPr>
          <w:rFonts w:ascii="Times New Roman" w:hAnsi="Times New Roman"/>
          <w:sz w:val="24"/>
          <w:szCs w:val="24"/>
          <w:shd w:fill="FFFFFF" w:val="clear"/>
        </w:rPr>
        <w:t>Прогноз развития сельского хозяйства разработан с учетом имеющегося в районе потенциала и сложившихся тенденций развития предприятий агропромышленного комплекса,</w:t>
      </w:r>
      <w:r>
        <w:rPr>
          <w:rStyle w:val="Appleconvertedspace"/>
          <w:rFonts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крестьянских (фермерских) хозяйств и хозяйств населения. Сельское хозяйство Шарангского муниципального района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- сырьем, и содействия устойчивому развитию сельских территорий. </w:t>
      </w:r>
      <w:r>
        <w:rPr>
          <w:rFonts w:ascii="Times New Roman" w:hAnsi="Times New Roman"/>
          <w:sz w:val="24"/>
          <w:szCs w:val="24"/>
        </w:rPr>
        <w:t>По состоянию на 01 января 2020 года в районе производством сельхозпродукции заняты - 5 сельхозпредприятий, 20 крестьянских (фермерских) хозяйств и более 5 тысяч личных подсобных хозяйств.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Поголовье крупного рогатого скота в сельхозпредприятиях и фермерских хозяйствах на конец отчетного года по сравнению с 2018 годом увеличилось на 1 500 голов и составило 5 625 голов, из них </w:t>
      </w:r>
      <w:r>
        <w:rPr>
          <w:rFonts w:ascii="Times New Roman" w:hAnsi="Times New Roman"/>
          <w:sz w:val="24"/>
          <w:szCs w:val="24"/>
        </w:rPr>
        <w:t xml:space="preserve">поголовье коров увеличилось на 600 голов. </w:t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2019 год в сельхозпредприятиях и КФХ произведено молока на 756 тонн больше по сравнению с 2018 годом (всего произведено - 5351 тонна), в том числе в сельхозпредприятиях производство молока увеличилось на 533 тонны, в фермерских хозяйствах на 200 тонн. </w:t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Посевная площадь под сельскохозяйственными культурами составила 23 568 гектаров (на уровне предыдущего года).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Валовый сбор зерна в прошлом году составил 11 476 тонн, при средней урожайности – 17 центнеров с гектара. </w:t>
      </w:r>
    </w:p>
    <w:p>
      <w:pPr>
        <w:pStyle w:val="Normal"/>
        <w:tabs>
          <w:tab w:val="left" w:pos="709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 был посеян на площади 940 гектаров или на 40 гектаров больше. На 253 тонны увеличился валовый сбор льноволокна и составил 956 тонн.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году значительно был обновлен парк сельскохозяйственной техники. Приобретены: два кормоуборочных и один зерноуборочный комбайны, один трактор мощностью более 300 лошадиных сил с почвообрабатывающей техникой и семь тракторов марки МТЗ, а так же приобретена техника для сева и уборки льна – это три льнокомбайна, современный посевной комплекс, жатка для сбора семян льна и рулонные прессы.</w:t>
      </w:r>
    </w:p>
    <w:p>
      <w:pPr>
        <w:pStyle w:val="Normal"/>
        <w:tabs>
          <w:tab w:val="clear" w:pos="709"/>
          <w:tab w:val="left" w:pos="851" w:leader="none"/>
        </w:tabs>
        <w:suppressAutoHyphens w:val="true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/>
        <w:ind w:left="0" w:right="0" w:firstLine="567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object w:dxaOrig="9091" w:dyaOrig="3504">
          <v:shape id="ole_rId7" style="width:454.7pt;height:175.3pt" o:ole="">
            <v:imagedata r:id="rId8" o:title=""/>
          </v:shape>
          <o:OLEObject Type="Embed" ProgID="" ShapeID="ole_rId7" DrawAspect="Content" ObjectID="_150153756" r:id="rId7"/>
        </w:objec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2020 года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сельскохозяйственного производства рассчитан исходя из факта 6 месяцев текущего года, с учетом тенденций прошлых лет и итогов согласования данного показателя с сельхозпредприятиями.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Валовая продукция сельского хозяйства во всех категориях хозяйств в 2020 году в действующих ценах составит 768,4 млн.руб. (к уровню 2019 года - 101,9%).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Прогноз 2021 года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исходных данных, объем валовой продукции сельского хозяйства во всех категориях хозяйств в действующих ценах на 2021 год прогнозируется 814,4 млн.руб. (106% в действующих ценах к 2020 году).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spacing w:lineRule="auto" w:line="240" w:before="0" w:after="0"/>
        <w:ind w:left="0" w:right="0" w:firstLine="567"/>
        <w:rPr>
          <w:rFonts w:ascii="Times New Roman" w:hAnsi="Times New Roman" w:cs="Times New Roman"/>
          <w:b w:val="false"/>
          <w:b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sz w:val="24"/>
          <w:szCs w:val="24"/>
          <w:u w:val="single"/>
        </w:rPr>
        <w:t>Инвестиции в основной капитал</w:t>
      </w:r>
    </w:p>
    <w:p>
      <w:pPr>
        <w:pStyle w:val="Style15"/>
        <w:spacing w:lineRule="auto" w:line="24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инвестиций в 2019 году составил 598 млн.руб., что выше 2018 года на 49%. Объем инвестиций в основной капитал в расчете на душу населения– 51516 руб., рост к 2018 году 50%. С 2013 года район участвует в пилотном проекте по поддержке местных инициатив. В 2019 году в рамках данного проекта было реализовано 10 мероприятий, общая сумма инвестиций составила 5,4 млн.руб.</w:t>
      </w:r>
    </w:p>
    <w:p>
      <w:pPr>
        <w:pStyle w:val="Style15"/>
        <w:spacing w:lineRule="auto" w:line="24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/>
          <w:iCs/>
          <w:sz w:val="24"/>
          <w:szCs w:val="24"/>
        </w:rPr>
        <w:t>Оценка 2020 года</w:t>
      </w:r>
    </w:p>
    <w:p>
      <w:pPr>
        <w:pStyle w:val="Style15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По оценке объем инвестиций составит 630 млн. руб. с темпом роста 105,4% в действующих ценах к уровню прошлого года.</w:t>
      </w:r>
    </w:p>
    <w:p>
      <w:pPr>
        <w:pStyle w:val="Style15"/>
        <w:spacing w:lineRule="auto" w:line="24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</w:r>
    </w:p>
    <w:p>
      <w:pPr>
        <w:pStyle w:val="Style15"/>
        <w:spacing w:lineRule="auto" w:line="240"/>
        <w:ind w:left="0" w:right="0" w:firstLine="567"/>
        <w:rPr>
          <w:rFonts w:cs="Times New Roman"/>
          <w:b w:val="false"/>
          <w:b w:val="false"/>
          <w:bCs/>
          <w:i/>
          <w:i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Style15"/>
        <w:spacing w:lineRule="auto" w:line="24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/>
          <w:sz w:val="24"/>
          <w:szCs w:val="24"/>
        </w:rPr>
        <w:t>Динамика объема инвестиций, млн.руб.</w:t>
      </w:r>
    </w:p>
    <w:p>
      <w:pPr>
        <w:pStyle w:val="Style15"/>
        <w:spacing w:lineRule="auto" w:line="240"/>
        <w:ind w:left="0" w:right="0" w:firstLine="567"/>
        <w:rPr>
          <w:rFonts w:cs="Times New Roman"/>
          <w:b w:val="false"/>
          <w:b w:val="false"/>
          <w:bCs/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lineRule="auto" w:line="240"/>
        <w:ind w:left="0" w:right="0" w:firstLine="567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object w:dxaOrig="8059" w:dyaOrig="2873">
          <v:shape id="ole_rId9" style="width:403.1pt;height:143.8pt" o:ole="">
            <v:imagedata r:id="rId10" o:title=""/>
          </v:shape>
          <o:OLEObject Type="Embed" ProgID="" ShapeID="ole_rId9" DrawAspect="Content" ObjectID="_2028208717" r:id="rId9"/>
        </w:object>
      </w:r>
    </w:p>
    <w:p>
      <w:pPr>
        <w:pStyle w:val="Style15"/>
        <w:spacing w:lineRule="auto" w:line="24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Cs/>
          <w:sz w:val="24"/>
          <w:szCs w:val="24"/>
        </w:rPr>
        <w:t xml:space="preserve"> </w:t>
      </w:r>
    </w:p>
    <w:p>
      <w:pPr>
        <w:pStyle w:val="Style15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Прогноз инвестиций в основной капитал по району на 2021 год составит 678 млн. руб., что выше предыдущего года на 7,6%. 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Фонд оплаты труда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 оплаты труда включает в себя начисленные предприятием (учреждением, организацией) суммы оплаты труда в денежной и натуральной форме, стимулирующие доплаты и надбавки, компенсационные выплаты, связанные с режимом работы и условиями труда, премии и единовременные поощрительные выплаты, а также выплаты на жилье, топливо, носящие регулярный характер. По району среднемесячная зарплата за 2019 год составила 22678,6 рублей, на 1253,9 руб. или на 5,9% выше 2018 года. Фонд заработной платы по полному кругу предприятий и организаций составил 1049,93 млн.руб., рост 7,1%. Фонд оплаты труда за 2020 год ожидается в размере 1062,6 млн.руб. (рост 1,2%), а в 2021 году прогнозируется увеличение этого показателя до 1121,8 млн.руб. (на 5,6%).</w:t>
      </w:r>
    </w:p>
    <w:p>
      <w:pPr>
        <w:pStyle w:val="Style22"/>
        <w:tabs>
          <w:tab w:val="clear" w:pos="4677"/>
          <w:tab w:val="clear" w:pos="9355"/>
        </w:tabs>
        <w:spacing w:lineRule="auto" w:line="240"/>
        <w:ind w:left="0" w:right="0" w:firstLine="567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</w:r>
    </w:p>
    <w:p>
      <w:pPr>
        <w:pStyle w:val="Style22"/>
        <w:tabs>
          <w:tab w:val="clear" w:pos="4677"/>
          <w:tab w:val="clear" w:pos="9355"/>
        </w:tabs>
        <w:spacing w:lineRule="auto" w:line="240"/>
        <w:ind w:left="0" w:right="0" w:firstLine="567"/>
        <w:jc w:val="center"/>
        <w:rPr>
          <w:rFonts w:ascii="Times New Roman" w:hAnsi="Times New Roman"/>
          <w:i/>
          <w:i/>
          <w:sz w:val="24"/>
          <w:szCs w:val="24"/>
          <w:lang w:val="ru-MD"/>
        </w:rPr>
      </w:pPr>
      <w:r>
        <w:rPr>
          <w:rFonts w:ascii="Times New Roman" w:hAnsi="Times New Roman"/>
          <w:i/>
          <w:sz w:val="24"/>
          <w:szCs w:val="24"/>
          <w:lang w:val="ru-MD"/>
        </w:rPr>
        <w:t>Фонд заработной платы, руб.</w:t>
      </w:r>
    </w:p>
    <w:p>
      <w:pPr>
        <w:pStyle w:val="Style22"/>
        <w:tabs>
          <w:tab w:val="clear" w:pos="4677"/>
          <w:tab w:val="clear" w:pos="9355"/>
        </w:tabs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object w:dxaOrig="6859" w:dyaOrig="2873">
          <v:shape id="ole_rId11" style="width:343.1pt;height:143.8pt" o:ole="">
            <v:imagedata r:id="rId12" o:title=""/>
          </v:shape>
          <o:OLEObject Type="Embed" ProgID="" ShapeID="ole_rId11" DrawAspect="Content" ObjectID="_388539909" r:id="rId11"/>
        </w:object>
      </w:r>
    </w:p>
    <w:p>
      <w:pPr>
        <w:pStyle w:val="2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  <w:u w:val="single"/>
          <w:lang w:val="ru-MD"/>
        </w:rPr>
      </w:pPr>
      <w:r>
        <w:rPr>
          <w:rFonts w:cs="Times New Roman" w:ascii="Times New Roman" w:hAnsi="Times New Roman"/>
          <w:sz w:val="24"/>
          <w:szCs w:val="24"/>
          <w:u w:val="single"/>
          <w:lang w:val="ru-MD"/>
        </w:rPr>
      </w:r>
    </w:p>
    <w:p>
      <w:pPr>
        <w:pStyle w:val="2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Прибыль прибыльных организаций по крупным и средним предприятиям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1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2020 года </w:t>
      </w:r>
    </w:p>
    <w:p>
      <w:pPr>
        <w:pStyle w:val="Style19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оценке 2020 года сумма прибыли прибыльных организаций по району составит 13,5 млн. руб. За 2019 год этот показатель был – 14,63 млн.руб.</w:t>
      </w:r>
    </w:p>
    <w:p>
      <w:pPr>
        <w:pStyle w:val="Normal1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Прогноз 2021 года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прибыли прибыльных организаций на 2021 год рассчитан на основании финансовых результатов работы района за 6 месяцев 2020 года, с учетом роста объемов отгруженных товаров собственного производства и затрат на производство и реализацию продукции, намечаемых на предстоящий год.</w:t>
      </w:r>
    </w:p>
    <w:p>
      <w:pPr>
        <w:sectPr>
          <w:headerReference w:type="default" r:id="rId13"/>
          <w:headerReference w:type="first" r:id="rId1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Style22"/>
        <w:tabs>
          <w:tab w:val="clear" w:pos="4677"/>
          <w:tab w:val="clear" w:pos="9355"/>
        </w:tabs>
        <w:spacing w:lineRule="auto" w:line="24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прогнозу на 2021 год в целом по району планируется получить прибыль в сумме 14,2 млн. рублей.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ПРОГНОЗ СОЦИАЛЬНО-ЭКОНОМИЧЕСКОГО РАЗВИТИЯ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2021 ГОД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64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30"/>
        <w:gridCol w:w="1305"/>
        <w:gridCol w:w="1245"/>
        <w:gridCol w:w="1305"/>
        <w:gridCol w:w="1185"/>
        <w:gridCol w:w="1245"/>
        <w:gridCol w:w="1245"/>
        <w:gridCol w:w="1260"/>
        <w:gridCol w:w="1125"/>
      </w:tblGrid>
      <w:tr>
        <w:trPr>
          <w:trHeight w:val="285" w:hRule="atLeast"/>
          <w:cantSplit w:val="true"/>
        </w:trPr>
        <w:tc>
          <w:tcPr>
            <w:tcW w:w="5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(отчет)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оценка</w:t>
            </w:r>
          </w:p>
        </w:tc>
        <w:tc>
          <w:tcPr>
            <w:tcW w:w="606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</w:t>
            </w:r>
          </w:p>
        </w:tc>
      </w:tr>
      <w:tr>
        <w:trPr>
          <w:trHeight w:val="228" w:hRule="atLeast"/>
          <w:cantSplit w:val="true"/>
        </w:trPr>
        <w:tc>
          <w:tcPr>
            <w:tcW w:w="573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</w:tr>
      <w:tr>
        <w:trPr>
          <w:trHeight w:val="9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Отгружено товаров собственного производства, выполнено работ и услуг собственными силами (по полному кругу предприятий)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действующих ценах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1181,84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1218,8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1286,2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1357,9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1512,5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1588</w:t>
            </w:r>
          </w:p>
        </w:tc>
      </w:tr>
      <w:tr>
        <w:trPr>
          <w:trHeight w:val="9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Отгружено товаров собственного производства, выполнено работ и услуг собственными силами (по крупным и средним предприятиям)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действующих ценах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</w:t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Валовая продукция сельского хозяйства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Валовая продукция хозяйств всех</w:t>
              <w:br/>
              <w:t xml:space="preserve">категорий: сельскохозяйственных </w:t>
              <w:br/>
              <w:t xml:space="preserve">предприятий, хозяйств населения, КФХ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действующих ценах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754,2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768,4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814,4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863,1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1033</w:t>
            </w:r>
          </w:p>
        </w:tc>
      </w:tr>
      <w:tr>
        <w:trPr>
          <w:trHeight w:val="393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Валовая продукция сельскохозяйственных предприятий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действующих ценах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345,8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388,4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465</w:t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Малое предпринимательство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4Оборот малых предприятий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1043,69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1079,2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1138,1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1201,4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1338,5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1405</w:t>
            </w:r>
          </w:p>
        </w:tc>
      </w:tr>
      <w:tr>
        <w:trPr>
          <w:trHeight w:val="60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Среднесписочная численность работников по малым предприятиям, всего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0,675</w:t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Инвестиции</w:t>
              <w:br/>
              <w:t xml:space="preserve">(капитальные вложения)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Инвестиции в основной капитал по территории за счет всех источников финансирования (по полному кругу предприятий)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888</w:t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6. Финансы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Прибыль прибыльных организаций по крупным и средним организациям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18,5</w:t>
            </w:r>
          </w:p>
        </w:tc>
      </w:tr>
      <w:tr>
        <w:trPr>
          <w:trHeight w:val="24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7. Фонд оплаты труда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Фонд оплаты труда, всего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1049,93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1062,6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1283,2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1440</w:t>
            </w:r>
          </w:p>
        </w:tc>
      </w:tr>
      <w:tr>
        <w:trPr>
          <w:trHeight w:val="480" w:hRule="atLeast"/>
          <w:cantSplit w:val="true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Численность работников, формирующих фонд оплаты труда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>
      <w:pPr>
        <w:pStyle w:val="Normal"/>
        <w:tabs>
          <w:tab w:val="clear" w:pos="709"/>
          <w:tab w:val="left" w:pos="7655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15"/>
      <w:type w:val="nextPage"/>
      <w:pgSz w:orient="landscape" w:w="16838" w:h="11906"/>
      <w:pgMar w:left="540" w:right="65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Appleconvertedspace">
    <w:name w:val="apple-converted-space"/>
    <w:basedOn w:val="Style12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Normal1">
    <w:name w:val="LO-Normal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oleObject" Target="embeddings/oleObject3.bin"/><Relationship Id="rId8" Type="http://schemas.openxmlformats.org/officeDocument/2006/relationships/image" Target="media/image4.wmf"/><Relationship Id="rId9" Type="http://schemas.openxmlformats.org/officeDocument/2006/relationships/oleObject" Target="embeddings/oleObject4.bin"/><Relationship Id="rId10" Type="http://schemas.openxmlformats.org/officeDocument/2006/relationships/image" Target="media/image5.wmf"/><Relationship Id="rId11" Type="http://schemas.openxmlformats.org/officeDocument/2006/relationships/oleObject" Target="embeddings/oleObject5.bin"/><Relationship Id="rId12" Type="http://schemas.openxmlformats.org/officeDocument/2006/relationships/image" Target="media/image6.w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LibreOffice/7.0.2.2$Windows_X86_64 LibreOffice_project/8349ace3c3162073abd90d81fd06dcfb6b36b994</Application>
  <Pages>7</Pages>
  <Words>1353</Words>
  <Characters>8586</Characters>
  <CharactersWithSpaces>9824</CharactersWithSpaces>
  <Paragraphs>194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2020-10-30T08:47:45Z</cp:lastPrinted>
  <dcterms:modified xsi:type="dcterms:W3CDTF">2020-10-30T08:48:12Z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