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01</w:t>
      </w:r>
      <w:r>
        <w:rPr>
          <w:sz w:val="28"/>
          <w:szCs w:val="28"/>
        </w:rPr>
        <w:t>.1</w:t>
      </w:r>
      <w:r>
        <w:rPr>
          <w:sz w:val="28"/>
          <w:szCs w:val="28"/>
        </w:rPr>
        <w:t>2</w:t>
      </w:r>
      <w:r>
        <w:rPr>
          <w:sz w:val="28"/>
          <w:szCs w:val="28"/>
        </w:rPr>
        <w:t>.20</w:t>
      </w:r>
      <w:r>
        <w:rPr>
          <w:rFonts w:eastAsia="Times New Roman" w:cs="Times New Roman"/>
          <w:color w:val="00000A"/>
          <w:kern w:val="0"/>
          <w:sz w:val="28"/>
          <w:szCs w:val="28"/>
          <w:lang w:val="ru-RU" w:eastAsia="zh-CN" w:bidi="ar-SA"/>
        </w:rPr>
        <w:t>20</w:t>
      </w:r>
      <w:r>
        <w:rPr>
          <w:sz w:val="28"/>
          <w:szCs w:val="28"/>
        </w:rPr>
        <w:tab/>
      </w:r>
      <w:r>
        <w:rPr>
          <w:sz w:val="28"/>
          <w:szCs w:val="28"/>
          <w:lang w:val="en-US"/>
        </w:rPr>
        <w:t>N</w:t>
      </w:r>
      <w:r>
        <w:rPr>
          <w:sz w:val="28"/>
          <w:szCs w:val="28"/>
        </w:rPr>
        <w:t xml:space="preserve"> </w:t>
      </w:r>
      <w:r>
        <w:rPr>
          <w:sz w:val="28"/>
          <w:szCs w:val="28"/>
        </w:rPr>
        <w:t>487</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3" w:hanging="0"/>
        <w:jc w:val="center"/>
        <w:rPr>
          <w:b/>
          <w:b/>
          <w:sz w:val="28"/>
          <w:szCs w:val="28"/>
        </w:rPr>
      </w:pPr>
      <w:r>
        <w:rPr>
          <w:b/>
          <w:sz w:val="28"/>
          <w:szCs w:val="28"/>
        </w:rPr>
        <w:t xml:space="preserve">О закреплении </w:t>
      </w:r>
      <w:r>
        <w:rPr>
          <w:rStyle w:val="11"/>
          <w:rFonts w:eastAsia="Courier New"/>
          <w:b/>
          <w:sz w:val="28"/>
          <w:szCs w:val="28"/>
        </w:rPr>
        <w:t xml:space="preserve">муниципальных бюджетных </w:t>
      </w:r>
      <w:r>
        <w:rPr>
          <w:b/>
          <w:sz w:val="28"/>
          <w:szCs w:val="28"/>
        </w:rPr>
        <w:t>образовательных организаций за территориями Шарангского муниципального района</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10"/>
        <w:shd w:val="clear" w:color="auto" w:fill="auto"/>
        <w:spacing w:lineRule="auto" w:line="360" w:before="0" w:after="0"/>
        <w:ind w:left="0" w:right="0" w:firstLine="709"/>
        <w:jc w:val="both"/>
        <w:rPr/>
      </w:pPr>
      <w:r>
        <w:rPr>
          <w:rStyle w:val="11"/>
          <w:sz w:val="28"/>
          <w:szCs w:val="28"/>
        </w:rPr>
        <w:t xml:space="preserve">В целях реализации прав граждан на образование, в соответствии со статьёй 43 Конституции Российской Федерации, во исполнение ст.5, ст.67 Федерального закона от 29.12.2012 № 273-ФЗ «Об образовании в Российской Федерации», приказа Минпросвещения России от 15.05.2020 № 236 «Об утверждении Порядка приема на обучение по образовательным программам дошкольного образования», </w:t>
      </w:r>
      <w:r>
        <w:rPr>
          <w:rStyle w:val="11"/>
          <w:sz w:val="28"/>
          <w:szCs w:val="28"/>
        </w:rPr>
        <w:t>п</w:t>
      </w:r>
      <w:r>
        <w:rPr>
          <w:rStyle w:val="11"/>
          <w:sz w:val="28"/>
          <w:szCs w:val="28"/>
        </w:rPr>
        <w:t xml:space="preserve">риказа Минпросвещения России от 02.09.2020 №458 «Об утверждении Порядка приема на обучение по образовательным программам начального общего, основного общего и среднего общего образования», администрация Шарангского муниципального района </w:t>
      </w:r>
    </w:p>
    <w:p>
      <w:pPr>
        <w:pStyle w:val="10"/>
        <w:shd w:val="clear" w:color="auto" w:fill="auto"/>
        <w:spacing w:lineRule="auto" w:line="360" w:before="0" w:after="0"/>
        <w:ind w:left="0" w:right="0" w:hanging="0"/>
        <w:jc w:val="both"/>
        <w:rPr/>
      </w:pPr>
      <w:r>
        <w:rPr>
          <w:rStyle w:val="11"/>
          <w:b/>
          <w:sz w:val="28"/>
          <w:szCs w:val="28"/>
        </w:rPr>
        <w:t>п о с т а н о в л я е т:</w:t>
      </w:r>
    </w:p>
    <w:p>
      <w:pPr>
        <w:pStyle w:val="10"/>
        <w:shd w:val="clear" w:color="auto" w:fill="auto"/>
        <w:spacing w:lineRule="auto" w:line="360" w:before="0" w:after="0"/>
        <w:ind w:left="0" w:right="0" w:firstLine="709"/>
        <w:jc w:val="both"/>
        <w:rPr/>
      </w:pPr>
      <w:r>
        <w:rPr>
          <w:rStyle w:val="11"/>
          <w:sz w:val="28"/>
          <w:szCs w:val="28"/>
        </w:rPr>
        <w:t>1. Закрепить образовательные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образования, за территориями Шарангского муниципального района согласно Приложению.</w:t>
      </w:r>
    </w:p>
    <w:p>
      <w:pPr>
        <w:pStyle w:val="10"/>
        <w:shd w:val="clear" w:color="auto" w:fill="auto"/>
        <w:spacing w:lineRule="auto" w:line="360" w:before="0" w:after="0"/>
        <w:ind w:left="0" w:right="0" w:firstLine="709"/>
        <w:jc w:val="both"/>
        <w:rPr/>
      </w:pPr>
      <w:r>
        <w:rPr>
          <w:rStyle w:val="11"/>
          <w:sz w:val="28"/>
          <w:szCs w:val="28"/>
        </w:rPr>
        <w:t>2. Руководителям образовательных организаций обеспечить прием граждан, имеющих право на получение общего образования соответствующего уровня, для обучения по образовательным программам дошкольного, начального общего, основного общего, среднего общего образования, проживающих на территории, за которой закреплена данная муниципальная образовательная организация.</w:t>
      </w:r>
    </w:p>
    <w:p>
      <w:pPr>
        <w:pStyle w:val="10"/>
        <w:shd w:val="clear" w:color="auto" w:fill="auto"/>
        <w:spacing w:lineRule="auto" w:line="360" w:before="0" w:after="0"/>
        <w:ind w:left="0" w:right="0" w:firstLine="709"/>
        <w:jc w:val="both"/>
        <w:rPr/>
      </w:pPr>
      <w:r>
        <w:rPr>
          <w:rStyle w:val="11"/>
          <w:sz w:val="28"/>
          <w:szCs w:val="28"/>
        </w:rPr>
        <w:t>3. Признать утратившим силу постановление администрации Шарангского муниципального района от 18.04.2019 № 224 «О закреплении муниципальных бюджетных образовательных организаций за территориями Шарангского муниципального района».</w:t>
      </w:r>
    </w:p>
    <w:p>
      <w:pPr>
        <w:pStyle w:val="Normal"/>
        <w:widowControl w:val="false"/>
        <w:numPr>
          <w:ilvl w:val="0"/>
          <w:numId w:val="0"/>
        </w:numPr>
        <w:spacing w:lineRule="auto" w:line="360"/>
        <w:ind w:left="0" w:right="0" w:firstLine="709"/>
        <w:jc w:val="both"/>
        <w:outlineLvl w:val="3"/>
        <w:rPr/>
      </w:pPr>
      <w:r>
        <w:rPr>
          <w:rFonts w:cs="Times New Roman"/>
          <w:b w:val="false"/>
          <w:sz w:val="28"/>
          <w:szCs w:val="28"/>
        </w:rPr>
        <w:t>4. Контроль за исполнением постановления возложить на начальника управления образования и молодежной политики администрации Шарангского муниципального района Нижегородской области Е.А. Самоделкину.</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jc w:val="both"/>
        <w:rPr>
          <w:sz w:val="28"/>
          <w:szCs w:val="28"/>
        </w:rPr>
      </w:pPr>
      <w:r>
        <w:rPr>
          <w:rFonts w:eastAsia="Times New Roman" w:cs="Times New Roman"/>
          <w:color w:val="00000A"/>
          <w:kern w:val="0"/>
          <w:sz w:val="28"/>
          <w:szCs w:val="28"/>
          <w:lang w:val="ru-RU" w:eastAsia="zh-CN" w:bidi="ar-SA"/>
        </w:rPr>
        <w:t>Г</w:t>
      </w:r>
      <w:r>
        <w:rPr>
          <w:sz w:val="28"/>
          <w:szCs w:val="28"/>
        </w:rPr>
        <w:t>лава местного самоуправления</w:t>
        <w:tab/>
        <w:t>Д.О.Ожиганов</w:t>
      </w:r>
      <w:r>
        <w:br w:type="page"/>
      </w:r>
    </w:p>
    <w:p>
      <w:pPr>
        <w:pStyle w:val="Normal"/>
        <w:ind w:left="4536" w:right="40" w:hanging="0"/>
        <w:jc w:val="center"/>
        <w:rPr/>
      </w:pPr>
      <w:r>
        <w:rPr>
          <w:rStyle w:val="21"/>
          <w:b w:val="false"/>
          <w:bCs w:val="false"/>
          <w:sz w:val="24"/>
          <w:szCs w:val="24"/>
        </w:rPr>
        <w:t>Приложение</w:t>
      </w:r>
    </w:p>
    <w:p>
      <w:pPr>
        <w:pStyle w:val="10"/>
        <w:shd w:val="clear" w:color="auto" w:fill="auto"/>
        <w:spacing w:lineRule="auto" w:line="240" w:before="0" w:after="0"/>
        <w:ind w:left="4536" w:right="40" w:hanging="0"/>
        <w:jc w:val="center"/>
        <w:rPr/>
      </w:pPr>
      <w:r>
        <w:rPr>
          <w:rStyle w:val="11"/>
          <w:sz w:val="24"/>
          <w:szCs w:val="24"/>
        </w:rPr>
        <w:t xml:space="preserve">к постановлению администрации </w:t>
      </w:r>
    </w:p>
    <w:p>
      <w:pPr>
        <w:pStyle w:val="10"/>
        <w:shd w:val="clear" w:color="auto" w:fill="auto"/>
        <w:spacing w:lineRule="auto" w:line="240" w:before="0" w:after="0"/>
        <w:ind w:left="4536" w:right="40" w:hanging="0"/>
        <w:jc w:val="center"/>
        <w:rPr/>
      </w:pPr>
      <w:r>
        <w:rPr>
          <w:rStyle w:val="11"/>
          <w:sz w:val="24"/>
          <w:szCs w:val="24"/>
        </w:rPr>
        <w:t>Шарангского муниципального района</w:t>
      </w:r>
    </w:p>
    <w:p>
      <w:pPr>
        <w:pStyle w:val="10"/>
        <w:shd w:val="clear" w:color="auto" w:fill="auto"/>
        <w:spacing w:lineRule="auto" w:line="240" w:before="0" w:after="0"/>
        <w:ind w:left="4536" w:right="40" w:hanging="0"/>
        <w:jc w:val="center"/>
        <w:rPr/>
      </w:pPr>
      <w:r>
        <w:rPr>
          <w:rStyle w:val="11"/>
          <w:sz w:val="24"/>
          <w:szCs w:val="24"/>
        </w:rPr>
        <w:t xml:space="preserve">от </w:t>
      </w:r>
      <w:r>
        <w:rPr>
          <w:rStyle w:val="11"/>
          <w:rFonts w:eastAsia="Times New Roman" w:cs="Times New Roman"/>
          <w:b w:val="false"/>
          <w:bCs w:val="false"/>
          <w:i w:val="false"/>
          <w:iCs w:val="false"/>
          <w:caps w:val="false"/>
          <w:smallCaps w:val="false"/>
          <w:strike w:val="false"/>
          <w:dstrike w:val="false"/>
          <w:color w:val="000000"/>
          <w:spacing w:val="0"/>
          <w:w w:val="100"/>
          <w:kern w:val="0"/>
          <w:position w:val="0"/>
          <w:sz w:val="26"/>
          <w:sz w:val="24"/>
          <w:szCs w:val="24"/>
          <w:u w:val="none"/>
          <w:vertAlign w:val="baseline"/>
          <w:lang w:val="ru-RU" w:eastAsia="zh-CN" w:bidi="ru-RU"/>
        </w:rPr>
        <w:t>01.12.2020 г. № 487</w:t>
      </w:r>
    </w:p>
    <w:p>
      <w:pPr>
        <w:pStyle w:val="10"/>
        <w:shd w:val="clear" w:color="auto" w:fill="auto"/>
        <w:spacing w:lineRule="auto" w:line="240" w:before="0" w:after="0"/>
        <w:ind w:left="4536" w:right="40" w:hanging="0"/>
        <w:jc w:val="center"/>
        <w:rPr>
          <w:rStyle w:val="11"/>
          <w:sz w:val="24"/>
          <w:szCs w:val="24"/>
        </w:rPr>
      </w:pPr>
      <w:r>
        <w:rPr>
          <w:sz w:val="24"/>
          <w:szCs w:val="24"/>
        </w:rPr>
      </w:r>
    </w:p>
    <w:p>
      <w:pPr>
        <w:pStyle w:val="10"/>
        <w:shd w:val="clear" w:color="auto" w:fill="auto"/>
        <w:spacing w:lineRule="auto" w:line="240" w:before="0" w:after="0"/>
        <w:ind w:left="4536" w:right="40" w:hanging="0"/>
        <w:jc w:val="center"/>
        <w:rPr>
          <w:rStyle w:val="11"/>
          <w:sz w:val="24"/>
          <w:szCs w:val="24"/>
        </w:rPr>
      </w:pPr>
      <w:r>
        <w:rPr>
          <w:sz w:val="24"/>
          <w:szCs w:val="24"/>
        </w:rPr>
      </w:r>
    </w:p>
    <w:p>
      <w:pPr>
        <w:pStyle w:val="10"/>
        <w:shd w:val="clear" w:color="auto" w:fill="auto"/>
        <w:spacing w:lineRule="auto" w:line="240" w:before="0" w:after="0"/>
        <w:ind w:right="40" w:hanging="0"/>
        <w:jc w:val="center"/>
        <w:rPr/>
      </w:pPr>
      <w:r>
        <w:rPr>
          <w:rStyle w:val="11"/>
          <w:sz w:val="24"/>
          <w:szCs w:val="24"/>
        </w:rPr>
        <w:t xml:space="preserve">Перечень </w:t>
      </w:r>
    </w:p>
    <w:p>
      <w:pPr>
        <w:pStyle w:val="10"/>
        <w:shd w:val="clear" w:color="auto" w:fill="auto"/>
        <w:spacing w:lineRule="auto" w:line="240" w:before="0" w:after="0"/>
        <w:ind w:right="40" w:hanging="0"/>
        <w:jc w:val="center"/>
        <w:rPr/>
      </w:pPr>
      <w:r>
        <w:rPr>
          <w:rStyle w:val="11"/>
          <w:sz w:val="24"/>
          <w:szCs w:val="24"/>
        </w:rPr>
        <w:t xml:space="preserve">образовательных организаций, закрепленных за территориями </w:t>
      </w:r>
    </w:p>
    <w:p>
      <w:pPr>
        <w:pStyle w:val="10"/>
        <w:shd w:val="clear" w:color="auto" w:fill="auto"/>
        <w:spacing w:lineRule="auto" w:line="240" w:before="0" w:after="0"/>
        <w:ind w:right="40" w:hanging="0"/>
        <w:jc w:val="center"/>
        <w:rPr/>
      </w:pPr>
      <w:r>
        <w:rPr>
          <w:rStyle w:val="22"/>
          <w:sz w:val="24"/>
          <w:szCs w:val="24"/>
          <w:u w:val="none"/>
        </w:rPr>
        <w:t>Шарангского муниципального района</w:t>
      </w:r>
    </w:p>
    <w:p>
      <w:pPr>
        <w:pStyle w:val="NoSpacing"/>
        <w:jc w:val="center"/>
        <w:rPr>
          <w:rStyle w:val="22"/>
          <w:sz w:val="24"/>
          <w:szCs w:val="24"/>
          <w:u w:val="none"/>
        </w:rPr>
      </w:pPr>
      <w:r>
        <w:rPr>
          <w:sz w:val="24"/>
          <w:szCs w:val="24"/>
          <w:u w:val="none"/>
        </w:rPr>
      </w:r>
    </w:p>
    <w:tbl>
      <w:tblPr>
        <w:tblW w:w="9642" w:type="dxa"/>
        <w:jc w:val="left"/>
        <w:tblInd w:w="115" w:type="dxa"/>
        <w:tblLayout w:type="fixed"/>
        <w:tblCellMar>
          <w:top w:w="0" w:type="dxa"/>
          <w:left w:w="108" w:type="dxa"/>
          <w:bottom w:w="0" w:type="dxa"/>
          <w:right w:w="108" w:type="dxa"/>
        </w:tblCellMar>
        <w:tblLook w:firstRow="0" w:noVBand="0" w:lastRow="0" w:firstColumn="0" w:lastColumn="0" w:noHBand="0" w:val="0000"/>
      </w:tblPr>
      <w:tblGrid>
        <w:gridCol w:w="630"/>
        <w:gridCol w:w="3570"/>
        <w:gridCol w:w="5442"/>
      </w:tblGrid>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jc w:val="center"/>
              <w:rPr>
                <w:sz w:val="24"/>
                <w:szCs w:val="24"/>
              </w:rPr>
            </w:pPr>
            <w:r>
              <w:rPr>
                <w:sz w:val="24"/>
                <w:szCs w:val="24"/>
              </w:rPr>
              <w:t xml:space="preserve">№ </w:t>
            </w:r>
            <w:r>
              <w:rPr>
                <w:sz w:val="24"/>
                <w:szCs w:val="24"/>
              </w:rPr>
              <w:t>п/п</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jc w:val="center"/>
              <w:rPr>
                <w:sz w:val="24"/>
                <w:szCs w:val="24"/>
              </w:rPr>
            </w:pPr>
            <w:r>
              <w:rPr>
                <w:sz w:val="24"/>
                <w:szCs w:val="24"/>
              </w:rPr>
              <w:t>Наименование общеобразовательного</w:t>
            </w:r>
          </w:p>
          <w:p>
            <w:pPr>
              <w:pStyle w:val="NoSpacing"/>
              <w:widowControl w:val="false"/>
              <w:jc w:val="center"/>
              <w:rPr>
                <w:sz w:val="24"/>
                <w:szCs w:val="24"/>
              </w:rPr>
            </w:pPr>
            <w:r>
              <w:rPr>
                <w:sz w:val="24"/>
                <w:szCs w:val="24"/>
              </w:rPr>
              <w:t>учреждения</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sz w:val="24"/>
                <w:szCs w:val="24"/>
              </w:rPr>
            </w:pPr>
            <w:r>
              <w:rPr>
                <w:sz w:val="24"/>
                <w:szCs w:val="24"/>
              </w:rPr>
              <w:t>Закрепленная территория</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Шарангская СШ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деревня Туманка, деревня Мосуново, село Кугланур, деревня Астанчурга, деревня Зыково, деревня Большой Рейчваж, деревня Малый Рейчваж, деревня Полозово, деревня Макарково, деревня Куршаково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2</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Роженцовская СШ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Роженцово, деревня Бахтино, деревня Москвино, деревня Куклино, деревня Ермолино, деревня Щекотово, деревня Большие Килимары, деревня Фоминские, деревня Курзеня,  деревня  Керганы, деревня Чезганы, деревня Верхнее Самойлово, деревня Коммунар, деревня Нижнее Самойлово, деревня Первое Кузнецово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3</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Кушнурская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Кушнур, деревня Козлянур, деревня Красновка, деревня Преображенка, деревня Зинки, деревня Первое Гусево, деревня Ивановка, деревня Кудрявка, деревня Рогожники</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4</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Старорудкинская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Старая Рудка, деревня Барышники, деревня Сысуи, деревня Вторые Николаевские, деревня Суслово, деревня Копытенки, деревня Новоселово, сельский поселок Пиштань, деревня Танайка</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5</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Поздеевская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деревня Поздеево, деревня Свинцово, сельский поселок Красная Горка, деревня Большое Доброво, деревня Малые Килимары, деревня Малое Зверево, сельский поселок Сосновка, деревня Шалагино, деревня Посташ, деревня Торопово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6.</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Большеустинская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Большое Устинское, деревня Чура, деревня Малиновские, деревня Челпайки,  деревня Туманур, сельский поселок Заречный, деревня Арзаматово, сельский поселок лесоучастка Уста</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7</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Большерудкинская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Большая Рудка, деревня Глубоково, деревня Глушково, деревня Загуляево, деревня Зыково, деревня Ивановские, деревня Клюжево, деревня Куракино, деревня Никольские, деревня Перчеваж, деревня Пестово, деревня Рудаково, деревня Рудомучакш, деревня Селезни, деревня Смирново, деревня Старостино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8</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Черномужская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деревня Черномуж, деревня Качеево, деревня Пайдушево, деревня Королево,  деревня Мельниково,  деревня Второе Гусево, деревня Лоскутово, деревня Марс, деревня Морозово, деревня Чемоданово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9</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МБОУ Щенниковская ОШ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Щенники, деревня Малая Уста, деревня Копани, деревня Тишкино, деревня Лежнино, деревня Макаровские, деревня Тунемер</w:t>
            </w:r>
          </w:p>
        </w:tc>
      </w:tr>
    </w:tbl>
    <w:p>
      <w:pPr>
        <w:pStyle w:val="10"/>
        <w:shd w:val="clear" w:color="auto" w:fill="auto"/>
        <w:tabs>
          <w:tab w:val="clear" w:pos="709"/>
          <w:tab w:val="right" w:pos="4480" w:leader="underscore"/>
          <w:tab w:val="center" w:pos="5478" w:leader="none"/>
          <w:tab w:val="right" w:pos="7240" w:leader="none"/>
          <w:tab w:val="left" w:pos="9942" w:leader="underscore"/>
        </w:tabs>
        <w:spacing w:lineRule="auto" w:line="240" w:before="0" w:after="0"/>
        <w:ind w:left="400" w:right="40" w:firstLine="240"/>
        <w:rPr>
          <w:rStyle w:val="22"/>
          <w:sz w:val="24"/>
          <w:szCs w:val="24"/>
        </w:rPr>
      </w:pPr>
      <w:r>
        <w:rPr>
          <w:sz w:val="24"/>
          <w:szCs w:val="24"/>
        </w:rPr>
      </w:r>
    </w:p>
    <w:tbl>
      <w:tblPr>
        <w:tblW w:w="9642" w:type="dxa"/>
        <w:jc w:val="left"/>
        <w:tblInd w:w="115" w:type="dxa"/>
        <w:tblLayout w:type="fixed"/>
        <w:tblCellMar>
          <w:top w:w="0" w:type="dxa"/>
          <w:left w:w="108" w:type="dxa"/>
          <w:bottom w:w="0" w:type="dxa"/>
          <w:right w:w="108" w:type="dxa"/>
        </w:tblCellMar>
        <w:tblLook w:firstRow="0" w:noVBand="0" w:lastRow="0" w:firstColumn="0" w:lastColumn="0" w:noHBand="0" w:val="0000"/>
      </w:tblPr>
      <w:tblGrid>
        <w:gridCol w:w="630"/>
        <w:gridCol w:w="3570"/>
        <w:gridCol w:w="5442"/>
      </w:tblGrid>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 xml:space="preserve">№ </w:t>
            </w:r>
            <w:r>
              <w:rPr>
                <w:sz w:val="24"/>
                <w:szCs w:val="24"/>
              </w:rPr>
              <w:t>п/п</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Наименование дошкольного образовательного</w:t>
            </w:r>
          </w:p>
          <w:p>
            <w:pPr>
              <w:pStyle w:val="NoSpacing"/>
              <w:widowControl w:val="false"/>
              <w:rPr>
                <w:sz w:val="24"/>
                <w:szCs w:val="24"/>
              </w:rPr>
            </w:pPr>
            <w:r>
              <w:rPr>
                <w:sz w:val="24"/>
                <w:szCs w:val="24"/>
              </w:rPr>
              <w:t>учреждения</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Закрепленная территория</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«Березка»</w:t>
            </w:r>
          </w:p>
          <w:p>
            <w:pPr>
              <w:pStyle w:val="NoSpacing"/>
              <w:widowControl w:val="false"/>
              <w:rPr>
                <w:sz w:val="24"/>
                <w:szCs w:val="24"/>
              </w:rPr>
            </w:pPr>
            <w:r>
              <w:rPr>
                <w:sz w:val="24"/>
                <w:szCs w:val="24"/>
              </w:rPr>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(улицы: Большевиков, Горького, Заовражная, Заречная, Ленина, Нагорная, Озерная, Раздольная, Спортивная, Родниковая)</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2</w:t>
            </w:r>
          </w:p>
          <w:p>
            <w:pPr>
              <w:pStyle w:val="NoSpacing"/>
              <w:widowControl w:val="false"/>
              <w:rPr>
                <w:sz w:val="24"/>
                <w:szCs w:val="24"/>
              </w:rPr>
            </w:pPr>
            <w:r>
              <w:rPr>
                <w:sz w:val="24"/>
                <w:szCs w:val="24"/>
              </w:rPr>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«Полянка»</w:t>
            </w:r>
          </w:p>
          <w:p>
            <w:pPr>
              <w:pStyle w:val="NoSpacing"/>
              <w:widowControl w:val="false"/>
              <w:rPr>
                <w:sz w:val="24"/>
                <w:szCs w:val="24"/>
              </w:rPr>
            </w:pPr>
            <w:r>
              <w:rPr>
                <w:sz w:val="24"/>
                <w:szCs w:val="24"/>
              </w:rPr>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(улицы: Берёзовая, Зеленая, Сергея Кашина, Лесная, Медицинская, Молодежная, Парковая, Производственная, Советская, Строителей, Юбилейная , Луговая, Широкая, Заречная), деревня Мосуново, деревня Полозово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3</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«Ручеек»</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(улицы: Большевиков, Кирова, Кольцова, Комсомольская, Ленина, Мичурина, Набережная, Некрасова, Первомайская, Заречная, Заовражная, Малая Глинная, Победы, Снежная, Советская, Школьная; переулки: Кольцова, Мягчилова, Некрасова) деревня Малый Рейчваж, деревня Большой Рейчваж, деревня Куршаково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4</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«Светлячок»</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(улицы: Киселёва, Кленовая, Кооперативная, Кутузова, Кузнецова, Механизаторов, Новая, Первомайская, Радужная, Рогожникова, Садовая, Советская, Школьная, Свободы, Светлая, Северная, Солнечная, Старыгина, Труда, переулок Новый, Светлый), деревня Туманка, деревня Морозово, деревня Лоскутово, деревня Макарково.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4.1</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Филиал МБДОУ детский сад «Теремок» МБДОУ детский сад «Светлячок»</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деревня Черномуж, деревня Качеево, деревня Пайдушево, деревня Второе Гусево, деревня Марс, деревня Чемоданово, деревня Королево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5</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«Теремок»</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рабочий поселок Шаранга (улицы: 50 лет Октября, Дружбы, Заводская, Котовского, Красноармейская, Луговая, Малая Глинная, Мира, Октябрьская, Первомайская, Полевая, Строителей, Суворова, Чапаева, Широкая)</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6</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«Колосок»</w:t>
            </w:r>
          </w:p>
          <w:p>
            <w:pPr>
              <w:pStyle w:val="NoSpacing"/>
              <w:widowControl w:val="false"/>
              <w:rPr>
                <w:sz w:val="24"/>
                <w:szCs w:val="24"/>
              </w:rPr>
            </w:pPr>
            <w:r>
              <w:rPr>
                <w:sz w:val="24"/>
                <w:szCs w:val="24"/>
              </w:rPr>
              <w:t>с. Роженцово</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Роженцово, деревня Бахтино, деревня Москвино, деревня Куклино, деревня Фоминские, деревня Большие Килемары, деревня Верхнее Самойлово, деревня Коммунар, сельский поселок Красная Горка, деревня Малое Зверево, деревня Малые Килемары, деревня Мельниково, деревня Нижнее Самойлово, деревня Первое Кузнецово, деревня Посташ, деревня Свинцово, сельский поселок Сосновка, деревня Шалагино.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7</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«Колобок»</w:t>
            </w:r>
          </w:p>
          <w:p>
            <w:pPr>
              <w:pStyle w:val="NoSpacing"/>
              <w:widowControl w:val="false"/>
              <w:rPr>
                <w:sz w:val="24"/>
                <w:szCs w:val="24"/>
              </w:rPr>
            </w:pPr>
            <w:r>
              <w:rPr>
                <w:sz w:val="24"/>
                <w:szCs w:val="24"/>
              </w:rPr>
              <w:t>с. Кушнур</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Кушнур, деревня Козлянур, деревня Красновка, деревня Преображенка, деревня Зинки, деревня Ермолино, деревня Кудрявка, деревня Первое Гусево, деревня Ивановка, деревня Рогожники</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8</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«Солнышко»</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Старая Рудка, деревня Барышники, деревня Сысуи, деревня Вторые Николаевские, деревня Суслово, деревня Копытенки, деревня Новоселово, сельский поселок Пиштань, деревня Танайка, деревня Торопово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9</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«Радуга»</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Кугланур, деревня Зыково, деревня Астанчурга</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10</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«Рябинка»</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Большое Устинское, деревня Чура, деревня Челпайки, деревня Туманур, сельский поселок Заречный, деревня Арзаматово, деревня Малиновские, сельский поселок лесоучастка Уста</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11</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«Колосок»</w:t>
            </w:r>
          </w:p>
          <w:p>
            <w:pPr>
              <w:pStyle w:val="NoSpacing"/>
              <w:widowControl w:val="false"/>
              <w:rPr>
                <w:sz w:val="24"/>
                <w:szCs w:val="24"/>
              </w:rPr>
            </w:pPr>
            <w:r>
              <w:rPr>
                <w:sz w:val="24"/>
                <w:szCs w:val="24"/>
              </w:rPr>
              <w:t>с. Большая Рудка</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село Большая Рудка, деревня Глушково, деревня Ивановские, деревня Клюжево, деревня Куракино, деревня Никольские,  деревня Рудаково, деревня Рудомучакш, деревня Селезни, деревня Смирново, деревня Старостино</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12</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«Родничок»</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деревня Щекотово, деревня Курзеня, деревня Керганы, деревня Чезганы</w:t>
            </w:r>
          </w:p>
        </w:tc>
      </w:tr>
      <w:tr>
        <w:trPr/>
        <w:tc>
          <w:tcPr>
            <w:tcW w:w="63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13</w:t>
            </w:r>
          </w:p>
        </w:tc>
        <w:tc>
          <w:tcPr>
            <w:tcW w:w="3570" w:type="dxa"/>
            <w:tcBorders>
              <w:top w:val="single" w:sz="4" w:space="0" w:color="000000"/>
              <w:left w:val="single" w:sz="4" w:space="0" w:color="000000"/>
              <w:bottom w:val="single" w:sz="4" w:space="0" w:color="000000"/>
            </w:tcBorders>
            <w:shd w:color="auto" w:fill="auto" w:val="clear"/>
          </w:tcPr>
          <w:p>
            <w:pPr>
              <w:pStyle w:val="NoSpacing"/>
              <w:widowControl w:val="false"/>
              <w:rPr>
                <w:sz w:val="24"/>
                <w:szCs w:val="24"/>
              </w:rPr>
            </w:pPr>
            <w:r>
              <w:rPr>
                <w:sz w:val="24"/>
                <w:szCs w:val="24"/>
              </w:rPr>
              <w:t>МБДОУ детский сад «Малыш»</w:t>
            </w:r>
          </w:p>
        </w:tc>
        <w:tc>
          <w:tcPr>
            <w:tcW w:w="544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sz w:val="24"/>
                <w:szCs w:val="24"/>
              </w:rPr>
            </w:pPr>
            <w:r>
              <w:rPr>
                <w:sz w:val="24"/>
                <w:szCs w:val="24"/>
              </w:rPr>
              <w:t>деревня Пестово, деревня Перчеваж, деревня Загуляево, деревня Глубоково</w:t>
            </w:r>
          </w:p>
        </w:tc>
      </w:tr>
    </w:tbl>
    <w:p>
      <w:pPr>
        <w:pStyle w:val="Normal"/>
        <w:tabs>
          <w:tab w:val="clear" w:pos="709"/>
          <w:tab w:val="left" w:pos="7655" w:leader="none"/>
        </w:tabs>
        <w:jc w:val="both"/>
        <w:rPr>
          <w:sz w:val="24"/>
          <w:szCs w:val="24"/>
        </w:rPr>
      </w:pPr>
      <w:r>
        <w:rPr/>
      </w:r>
    </w:p>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21">
    <w:name w:val="Основной текст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3"/>
      <w:sz w:val="23"/>
      <w:szCs w:val="23"/>
      <w:u w:val="none"/>
      <w:vertAlign w:val="baseline"/>
      <w:lang w:val="ru-RU" w:bidi="ru-RU"/>
    </w:rPr>
  </w:style>
  <w:style w:type="character" w:styleId="22">
    <w:name w:val="Основной текст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single"/>
      <w:shd w:fill="FFFFFF" w:val="clear"/>
      <w:vertAlign w:val="baseline"/>
      <w:lang w:val="ru-RU" w:bidi="ru-RU"/>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name w:val="Верхний и нижний колонтитулы"/>
    <w:basedOn w:val="Normal"/>
    <w:qFormat/>
    <w:pPr/>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10">
    <w:name w:val="Основной текст10"/>
    <w:basedOn w:val="Normal"/>
    <w:qFormat/>
    <w:pPr>
      <w:widowControl w:val="false"/>
      <w:shd w:val="clear" w:color="auto" w:fill="FFFFFF"/>
      <w:spacing w:lineRule="exact" w:line="322" w:before="420" w:after="300"/>
    </w:pPr>
    <w:rPr>
      <w:sz w:val="26"/>
      <w:szCs w:val="26"/>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LibreOffice/7.0.3.1$Windows_X86_64 LibreOffice_project/d7547858d014d4cf69878db179d326fc3483e082</Application>
  <Pages>5</Pages>
  <Words>887</Words>
  <Characters>6672</Characters>
  <CharactersWithSpaces>7472</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2020-12-01T13:30:05Z</cp:lastPrinted>
  <dcterms:modified xsi:type="dcterms:W3CDTF">2020-12-01T13:30:19Z</dcterms:modified>
  <cp:revision>85</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