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7</w:t>
      </w:r>
      <w:r>
        <w:rPr>
          <w:sz w:val="28"/>
          <w:szCs w:val="28"/>
        </w:rPr>
        <w:t>.2021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329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3" w:hang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комиссии по включению граждан, страдающих тяжелыми формами хронических заболеваний в список, граждан имеющих право на получение единовременной денежной выплаты на строительство или приобретение жилого помещения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Во исполнение постановления Правительства Нижегородской области от 06.12.2016г. №830 «Об утверждении порядка предоставления единовременной денежной выплаты на строительство или приобретение жилого помещения гражданам, страдающим тяжелыми формами хронических заболеваний», в соответствии с Уставом Шарангского муниципального района Нижегородской области администрация Шарангского муниципального района </w:t>
      </w:r>
    </w:p>
    <w:p>
      <w:pPr>
        <w:pStyle w:val="ConsPlusNormal"/>
        <w:spacing w:lineRule="auto" w:line="360"/>
        <w:ind w:left="0" w:right="0" w:hanging="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п о с т а н о в л я е т:</w:t>
      </w:r>
    </w:p>
    <w:p>
      <w:pPr>
        <w:pStyle w:val="ConsPlusNormal"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 Создать комиссию по включению граждан, страдающих тяжелыми формами хронических заболеваний в список граждан, имеющих право на получение единовременной денежной выплаты на строительство или приобретение жилого помещения (далее-Комиссия).</w:t>
      </w:r>
    </w:p>
    <w:p>
      <w:pPr>
        <w:pStyle w:val="ConsPlusNormal"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2.Утвердить Положение о Комиссии (Приложение 1).</w:t>
      </w:r>
    </w:p>
    <w:p>
      <w:pPr>
        <w:pStyle w:val="ConsPlusNormal"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 Утвердить состав Комиссии (Приложение 2).</w:t>
      </w:r>
    </w:p>
    <w:p>
      <w:pPr>
        <w:pStyle w:val="ConsPlusNormal"/>
        <w:widowControl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bCs/>
          <w:sz w:val="28"/>
          <w:szCs w:val="28"/>
        </w:rPr>
        <w:t>4. Контроль за исполнением постановления возложить на заместителя главы администрации А.В.Медведеву.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sectPr>
          <w:headerReference w:type="default" r:id="rId3"/>
          <w:type w:val="nextPage"/>
          <w:pgSz w:w="11906" w:h="16838"/>
          <w:pgMar w:left="1418" w:right="850" w:header="165" w:top="222" w:footer="0" w:bottom="548" w:gutter="0"/>
          <w:pgNumType w:fmt="decimal"/>
          <w:formProt w:val="false"/>
          <w:textDirection w:val="lrTb"/>
          <w:docGrid w:type="default" w:linePitch="360" w:charSpace="32768"/>
        </w:sectPr>
        <w:pStyle w:val="Normal"/>
        <w:tabs>
          <w:tab w:val="clear" w:pos="709"/>
          <w:tab w:val="left" w:pos="7485" w:leader="none"/>
        </w:tabs>
        <w:jc w:val="both"/>
        <w:rPr/>
      </w:pPr>
      <w:r>
        <w:rPr>
          <w:sz w:val="28"/>
          <w:szCs w:val="28"/>
        </w:rPr>
        <w:t>Глава местного самоуправления</w:t>
        <w:tab/>
        <w:t>Д.О. Ожиганов</w:t>
      </w:r>
    </w:p>
    <w:p>
      <w:pPr>
        <w:pStyle w:val="ConsPlusNormal"/>
        <w:widowControl w:val="false"/>
        <w:suppressAutoHyphens w:val="true"/>
        <w:overflowPunct w:val="true"/>
        <w:bidi w:val="0"/>
        <w:spacing w:before="0" w:after="0"/>
        <w:ind w:left="4535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1</w:t>
      </w:r>
    </w:p>
    <w:p>
      <w:pPr>
        <w:pStyle w:val="ConsPlusNormal"/>
        <w:widowControl w:val="false"/>
        <w:suppressAutoHyphens w:val="true"/>
        <w:overflowPunct w:val="true"/>
        <w:bidi w:val="0"/>
        <w:spacing w:before="0" w:after="0"/>
        <w:ind w:left="4535" w:righ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 постановлению администрации </w:t>
      </w:r>
    </w:p>
    <w:p>
      <w:pPr>
        <w:pStyle w:val="ConsPlusNormal"/>
        <w:widowControl w:val="false"/>
        <w:suppressAutoHyphens w:val="true"/>
        <w:overflowPunct w:val="true"/>
        <w:bidi w:val="0"/>
        <w:spacing w:before="0" w:after="0"/>
        <w:ind w:left="4535" w:righ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Шарангского муниципального района</w:t>
      </w:r>
    </w:p>
    <w:p>
      <w:pPr>
        <w:pStyle w:val="ConsPlusNormal"/>
        <w:widowControl w:val="false"/>
        <w:suppressAutoHyphens w:val="true"/>
        <w:overflowPunct w:val="true"/>
        <w:bidi w:val="0"/>
        <w:spacing w:before="0" w:after="0"/>
        <w:ind w:left="4535" w:righ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от 28.07.2021 г. № 329</w:t>
      </w:r>
    </w:p>
    <w:p>
      <w:pPr>
        <w:pStyle w:val="ConsPlusNormal"/>
        <w:spacing w:lineRule="auto" w:line="24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spacing w:lineRule="auto" w:line="24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spacing w:lineRule="auto" w:line="240"/>
        <w:ind w:left="0" w:right="0"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0"/>
      <w:bookmarkEnd w:id="0"/>
      <w:r>
        <w:rPr>
          <w:rFonts w:cs="Times New Roman" w:ascii="Times New Roman" w:hAnsi="Times New Roman"/>
          <w:sz w:val="24"/>
          <w:szCs w:val="24"/>
        </w:rPr>
        <w:t>ПОЛОЖЕНИЕ</w:t>
      </w:r>
    </w:p>
    <w:p>
      <w:pPr>
        <w:pStyle w:val="Normal"/>
        <w:spacing w:lineRule="auto" w:line="240"/>
        <w:ind w:left="0" w:right="0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комиссии по включению граждан, страдающих тяжелыми формами хронических заболеваний в список граждан, имеющих право на получение единовременной денежной выплаты на строительство или приобретение жилого помещения</w:t>
      </w:r>
    </w:p>
    <w:p>
      <w:pPr>
        <w:pStyle w:val="ConsPlusTitle"/>
        <w:spacing w:lineRule="auto" w:line="240"/>
        <w:ind w:left="0" w:right="0" w:firstLine="567"/>
        <w:jc w:val="center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ConsPlusTitle"/>
        <w:numPr>
          <w:ilvl w:val="0"/>
          <w:numId w:val="0"/>
        </w:numPr>
        <w:spacing w:lineRule="auto" w:line="240"/>
        <w:ind w:left="0" w:right="0"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ОБЩИЕ ПОЛОЖЕНИЯ</w:t>
      </w:r>
    </w:p>
    <w:p>
      <w:pPr>
        <w:pStyle w:val="ConsPlusTitle"/>
        <w:numPr>
          <w:ilvl w:val="0"/>
          <w:numId w:val="0"/>
        </w:numPr>
        <w:spacing w:lineRule="auto" w:line="240"/>
        <w:ind w:left="0" w:right="0"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spacing w:lineRule="auto" w:line="24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1.1. Комиссия по включению граждан, страдающих тяжелыми формами хронических заболеваний в список граждан, имеющих право на получение единовременной денежной выплаты на строительство или приобретение жилого помещения (далее соответственно - Комиссия, список) создается в целях рассмотрения заявлений граждан, страдающих тяжелыми формами хронических заболеваний, проживающих на территории Шарангского района и состоящих на учете по улучшению жилищных условий в органах местного самоуправления (далее- -заявитель), о включении их в список на получение единовременной денежной выплаты на строительство или приобретение жилого помещения.</w:t>
      </w:r>
    </w:p>
    <w:p>
      <w:pPr>
        <w:pStyle w:val="ConsPlusNormal"/>
        <w:widowControl/>
        <w:spacing w:lineRule="auto" w:line="24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1.2. Комиссия в своей работе руководствуется Гражданским кодексом Российской Федерации, Жилищным кодексом Российской Федерации, действующим законодательством Российской Федерации и Нижегородской области, нормативными правовыми актами Правительства Российской Федерации и Нижегородской области, а также настоящим Положением.</w:t>
      </w:r>
    </w:p>
    <w:p>
      <w:pPr>
        <w:pStyle w:val="ConsPlusNormal"/>
        <w:spacing w:lineRule="auto" w:line="24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numPr>
          <w:ilvl w:val="0"/>
          <w:numId w:val="0"/>
        </w:numPr>
        <w:spacing w:lineRule="auto" w:line="240"/>
        <w:ind w:left="0" w:right="0"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ПОЛНОМОЧИЯ КОМИССИИ</w:t>
      </w:r>
    </w:p>
    <w:p>
      <w:pPr>
        <w:pStyle w:val="ConsPlusNormal"/>
        <w:spacing w:lineRule="auto" w:line="24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spacing w:lineRule="auto" w:line="24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2.1. В соответствии со своими задачами Комиссия в течение тридцати рабочих дней со дня предоставления заявителем заявления и необходимых документов принимает одно из следующих решений:</w:t>
      </w:r>
    </w:p>
    <w:p>
      <w:pPr>
        <w:pStyle w:val="ConsPlusNormal"/>
        <w:spacing w:lineRule="auto" w:line="24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 включении в список граждан, страдающих тяжелыми формами хронических заболеваний, имеющих право на получение единовременной денежной выплаты на строительство или приобретение жилого помещения</w:t>
      </w:r>
      <w:r>
        <w:rPr>
          <w:rFonts w:ascii="Times New Roman" w:hAnsi="Times New Roman"/>
          <w:sz w:val="24"/>
          <w:szCs w:val="24"/>
        </w:rPr>
        <w:t>;</w:t>
      </w:r>
    </w:p>
    <w:p>
      <w:pPr>
        <w:pStyle w:val="ConsPlusNormal"/>
        <w:spacing w:lineRule="auto" w:line="24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об отказе во включении в список граждан, страдающих тяжелыми формами хронических заболеваний, имеющих право на получение единовременной денежной выплаты на строительство или приобретение жилого помещения;</w:t>
      </w:r>
    </w:p>
    <w:p>
      <w:pPr>
        <w:pStyle w:val="ConsPlusNormal"/>
        <w:spacing w:lineRule="auto" w:line="24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 В случаях предусмотренных п. 2.9. постановления Правительства Нижегородской области от 06.12.2016г. №830 «Об утверждении порядка предоставления единовременной денежной выплаты на строительство или приобретение жилого помещения гражданам, страдающим тяжелыми формами хронических заболеваний» Комиссия принимает решение о внесении в список изменений.</w:t>
      </w:r>
    </w:p>
    <w:p>
      <w:pPr>
        <w:pStyle w:val="ConsPlusTitle"/>
        <w:numPr>
          <w:ilvl w:val="0"/>
          <w:numId w:val="0"/>
        </w:numPr>
        <w:spacing w:lineRule="auto" w:line="240"/>
        <w:ind w:left="0" w:right="0"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numPr>
          <w:ilvl w:val="0"/>
          <w:numId w:val="0"/>
        </w:numPr>
        <w:spacing w:lineRule="auto" w:line="240"/>
        <w:ind w:left="0" w:right="0"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ПРАВА КОМИССИИ</w:t>
      </w:r>
    </w:p>
    <w:p>
      <w:pPr>
        <w:pStyle w:val="ConsPlusNormal"/>
        <w:spacing w:lineRule="auto" w:line="24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spacing w:lineRule="auto" w:line="24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 Комиссия имеет право запрашивать у структурных подразделений администрации Шарангского муниципального района, организаций и граждан сведения и документы, необходимые для принятия решений.</w:t>
      </w:r>
    </w:p>
    <w:p>
      <w:pPr>
        <w:pStyle w:val="ConsPlusNormal"/>
        <w:spacing w:lineRule="auto" w:line="24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numPr>
          <w:ilvl w:val="0"/>
          <w:numId w:val="0"/>
        </w:numPr>
        <w:spacing w:lineRule="auto" w:line="240"/>
        <w:ind w:left="0" w:right="0"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ОРГАНИЗАЦИЯ РАБОТЫ КОМИССИИ И ПОРЯДОК ПРИНЯТИЯ РЕШЕНИЙ</w:t>
      </w:r>
    </w:p>
    <w:p>
      <w:pPr>
        <w:pStyle w:val="ConsPlusNormal"/>
        <w:spacing w:lineRule="auto" w:line="24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spacing w:lineRule="auto" w:line="24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4.1. Комиссия проводит свои заседания по мере необходимости.</w:t>
      </w:r>
    </w:p>
    <w:p>
      <w:pPr>
        <w:pStyle w:val="ConsPlusNormal"/>
        <w:spacing w:lineRule="auto" w:line="24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4.2. Заседание Комиссии считается правомочным, если на нем присутствует не менее 2/3 ее членов.</w:t>
      </w:r>
    </w:p>
    <w:p>
      <w:pPr>
        <w:pStyle w:val="ConsPlusNormal"/>
        <w:spacing w:lineRule="auto" w:line="24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4.3.Заседание комиссии ведет председатель комиссии, а в его отсутствие заместитель председателя комиссии.</w:t>
      </w:r>
    </w:p>
    <w:p>
      <w:pPr>
        <w:pStyle w:val="ConsPlusNormal"/>
        <w:spacing w:lineRule="auto" w:line="24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4.4. Комиссия принимает решение открытым голосованием. Решение считается принятым, если за него проголосовало более половины членов Комиссии, присутствующих на заседании. Мнение члена Комиссии, не согласного с принятым решением, фиксируется в протоколе.</w:t>
      </w:r>
    </w:p>
    <w:p>
      <w:pPr>
        <w:pStyle w:val="ConsPlusNormal"/>
        <w:spacing w:lineRule="auto" w:line="24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4.5. Решение Комиссии носит рекомендательный характер.</w:t>
      </w:r>
    </w:p>
    <w:p>
      <w:pPr>
        <w:pStyle w:val="ConsPlusNormal"/>
        <w:spacing w:lineRule="auto" w:line="24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4.6. Решение Комиссии оформляется протоколом, который подписывается председателем, в его отсутствие заместителем председателя, и секретарем.</w:t>
      </w:r>
    </w:p>
    <w:p>
      <w:pPr>
        <w:pStyle w:val="ConsPlusNormal"/>
        <w:spacing w:lineRule="auto" w:line="24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4.7. Протокол Комиссии ведется секретарем Комиссии. Датой составления протокола является дата заседания Комиссии. Протокол оформляется в семидневный срок с даты заседания Комиссии.</w:t>
      </w:r>
    </w:p>
    <w:p>
      <w:pPr>
        <w:pStyle w:val="ConsPlusNormal"/>
        <w:spacing w:lineRule="auto" w:line="24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4.8. На основании протокола заседания Комиссии издается постановление администрации Шарангского муниципального района.</w:t>
      </w:r>
    </w:p>
    <w:p>
      <w:pPr>
        <w:pStyle w:val="ConsPlusNormal"/>
        <w:spacing w:lineRule="auto" w:line="24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br w:type="page"/>
      </w:r>
    </w:p>
    <w:p>
      <w:pPr>
        <w:pStyle w:val="ConsPlusNormal"/>
        <w:widowControl w:val="false"/>
        <w:suppressAutoHyphens w:val="true"/>
        <w:overflowPunct w:val="true"/>
        <w:bidi w:val="0"/>
        <w:spacing w:before="0" w:after="0"/>
        <w:ind w:left="4535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Приложение </w:t>
      </w:r>
      <w:r>
        <w:rPr>
          <w:rFonts w:cs="Times New Roman" w:ascii="Times New Roman" w:hAnsi="Times New Roman"/>
          <w:sz w:val="24"/>
          <w:szCs w:val="24"/>
        </w:rPr>
        <w:t>2</w:t>
      </w:r>
    </w:p>
    <w:p>
      <w:pPr>
        <w:pStyle w:val="ConsPlusNormal"/>
        <w:widowControl w:val="false"/>
        <w:suppressAutoHyphens w:val="true"/>
        <w:overflowPunct w:val="true"/>
        <w:bidi w:val="0"/>
        <w:spacing w:before="0" w:after="0"/>
        <w:ind w:left="4535" w:righ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 постановлению администрации </w:t>
      </w:r>
    </w:p>
    <w:p>
      <w:pPr>
        <w:pStyle w:val="ConsPlusNormal"/>
        <w:widowControl w:val="false"/>
        <w:suppressAutoHyphens w:val="true"/>
        <w:overflowPunct w:val="true"/>
        <w:bidi w:val="0"/>
        <w:spacing w:before="0" w:after="0"/>
        <w:ind w:left="4535" w:righ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Шарангского муниципального района</w:t>
      </w:r>
    </w:p>
    <w:p>
      <w:pPr>
        <w:pStyle w:val="ConsPlusNormal"/>
        <w:widowControl w:val="false"/>
        <w:suppressAutoHyphens w:val="true"/>
        <w:overflowPunct w:val="true"/>
        <w:bidi w:val="0"/>
        <w:spacing w:lineRule="auto" w:line="240" w:before="0" w:after="0"/>
        <w:ind w:left="4535" w:righ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от 28.07.2021 г. № 329</w:t>
      </w:r>
    </w:p>
    <w:p>
      <w:pPr>
        <w:pStyle w:val="Normal"/>
        <w:tabs>
          <w:tab w:val="clear" w:pos="709"/>
          <w:tab w:val="left" w:pos="7938" w:leader="none"/>
        </w:tabs>
        <w:spacing w:lineRule="auto" w:line="240"/>
        <w:ind w:left="0" w:right="0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  <w:tab w:val="left" w:pos="7938" w:leader="none"/>
        </w:tabs>
        <w:spacing w:lineRule="auto" w:line="240"/>
        <w:ind w:left="0" w:right="0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  <w:tab w:val="left" w:pos="7938" w:leader="none"/>
        </w:tabs>
        <w:spacing w:lineRule="auto" w:line="240"/>
        <w:ind w:left="0" w:right="0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</w:t>
      </w:r>
    </w:p>
    <w:p>
      <w:pPr>
        <w:pStyle w:val="Normal"/>
        <w:tabs>
          <w:tab w:val="clear" w:pos="709"/>
          <w:tab w:val="left" w:pos="7938" w:leader="none"/>
        </w:tabs>
        <w:spacing w:lineRule="auto" w:line="240"/>
        <w:ind w:left="0" w:right="0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комиссии по включению граждан, страдающих тяжелыми формами хронических заболеваний в список граждан, имеющих право на получение единовременной денежной выплаты на строительство или приобретение жилого помещения</w:t>
      </w:r>
    </w:p>
    <w:p>
      <w:pPr>
        <w:pStyle w:val="Normal"/>
        <w:tabs>
          <w:tab w:val="clear" w:pos="709"/>
          <w:tab w:val="left" w:pos="7938" w:leader="none"/>
        </w:tabs>
        <w:spacing w:lineRule="auto" w:line="240"/>
        <w:ind w:left="0" w:right="0" w:firstLine="567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9"/>
          <w:tab w:val="left" w:pos="7938" w:leader="none"/>
        </w:tabs>
        <w:spacing w:lineRule="auto" w:line="240"/>
        <w:ind w:left="0" w:right="0" w:firstLine="567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9"/>
          <w:tab w:val="left" w:pos="7938" w:leader="none"/>
        </w:tabs>
        <w:spacing w:lineRule="auto" w:line="240"/>
        <w:ind w:left="0" w:right="0" w:firstLine="567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W w:w="9705" w:type="dxa"/>
        <w:jc w:val="left"/>
        <w:tblInd w:w="14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0"/>
        <w:gridCol w:w="6765"/>
      </w:tblGrid>
      <w:tr>
        <w:trPr/>
        <w:tc>
          <w:tcPr>
            <w:tcW w:w="2940" w:type="dxa"/>
            <w:tcBorders/>
          </w:tcPr>
          <w:p>
            <w:pPr>
              <w:pStyle w:val="Normal"/>
              <w:widowControl/>
              <w:tabs>
                <w:tab w:val="clear" w:pos="709"/>
                <w:tab w:val="left" w:pos="7938" w:leader="none"/>
              </w:tabs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6765" w:type="dxa"/>
            <w:tcBorders/>
          </w:tcPr>
          <w:p>
            <w:pPr>
              <w:pStyle w:val="Normal"/>
              <w:widowControl/>
              <w:tabs>
                <w:tab w:val="clear" w:pos="709"/>
                <w:tab w:val="left" w:pos="7938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940" w:type="dxa"/>
            <w:tcBorders/>
          </w:tcPr>
          <w:p>
            <w:pPr>
              <w:pStyle w:val="Normal"/>
              <w:widowControl/>
              <w:tabs>
                <w:tab w:val="clear" w:pos="709"/>
                <w:tab w:val="left" w:pos="7938" w:leader="none"/>
              </w:tabs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А.В.Медведева-</w:t>
            </w:r>
          </w:p>
        </w:tc>
        <w:tc>
          <w:tcPr>
            <w:tcW w:w="6765" w:type="dxa"/>
            <w:tcBorders/>
          </w:tcPr>
          <w:p>
            <w:pPr>
              <w:pStyle w:val="Normal"/>
              <w:widowControl/>
              <w:tabs>
                <w:tab w:val="clear" w:pos="709"/>
                <w:tab w:val="left" w:pos="7938" w:leader="none"/>
              </w:tabs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Шарангского муниципального района</w:t>
            </w:r>
          </w:p>
        </w:tc>
      </w:tr>
      <w:tr>
        <w:trPr/>
        <w:tc>
          <w:tcPr>
            <w:tcW w:w="2940" w:type="dxa"/>
            <w:tcBorders/>
          </w:tcPr>
          <w:p>
            <w:pPr>
              <w:pStyle w:val="Normal"/>
              <w:widowControl/>
              <w:tabs>
                <w:tab w:val="clear" w:pos="709"/>
                <w:tab w:val="left" w:pos="7938" w:leader="none"/>
              </w:tabs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6765" w:type="dxa"/>
            <w:tcBorders/>
          </w:tcPr>
          <w:p>
            <w:pPr>
              <w:pStyle w:val="Normal"/>
              <w:widowControl/>
              <w:tabs>
                <w:tab w:val="clear" w:pos="709"/>
                <w:tab w:val="left" w:pos="7938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940" w:type="dxa"/>
            <w:tcBorders/>
          </w:tcPr>
          <w:p>
            <w:pPr>
              <w:pStyle w:val="Normal"/>
              <w:widowControl/>
              <w:tabs>
                <w:tab w:val="clear" w:pos="709"/>
                <w:tab w:val="left" w:pos="7938" w:leader="none"/>
              </w:tabs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Е.С.Устюжанина</w:t>
            </w:r>
          </w:p>
        </w:tc>
        <w:tc>
          <w:tcPr>
            <w:tcW w:w="6765" w:type="dxa"/>
            <w:tcBorders/>
          </w:tcPr>
          <w:p>
            <w:pPr>
              <w:pStyle w:val="Normal"/>
              <w:widowControl/>
              <w:tabs>
                <w:tab w:val="clear" w:pos="709"/>
                <w:tab w:val="left" w:pos="7938" w:leader="none"/>
              </w:tabs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финансового управления Шарангского муниципального района</w:t>
            </w:r>
          </w:p>
        </w:tc>
      </w:tr>
      <w:tr>
        <w:trPr/>
        <w:tc>
          <w:tcPr>
            <w:tcW w:w="2940" w:type="dxa"/>
            <w:tcBorders/>
          </w:tcPr>
          <w:p>
            <w:pPr>
              <w:pStyle w:val="Normal"/>
              <w:widowControl/>
              <w:tabs>
                <w:tab w:val="clear" w:pos="709"/>
                <w:tab w:val="left" w:pos="7938" w:leader="none"/>
              </w:tabs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  <w:p>
            <w:pPr>
              <w:pStyle w:val="Normal"/>
              <w:widowControl/>
              <w:tabs>
                <w:tab w:val="clear" w:pos="709"/>
                <w:tab w:val="left" w:pos="7938" w:leader="none"/>
              </w:tabs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6765" w:type="dxa"/>
            <w:tcBorders/>
          </w:tcPr>
          <w:p>
            <w:pPr>
              <w:pStyle w:val="Normal"/>
              <w:widowControl/>
              <w:tabs>
                <w:tab w:val="clear" w:pos="709"/>
                <w:tab w:val="left" w:pos="7938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940" w:type="dxa"/>
            <w:tcBorders/>
          </w:tcPr>
          <w:p>
            <w:pPr>
              <w:pStyle w:val="Normal"/>
              <w:widowControl/>
              <w:tabs>
                <w:tab w:val="clear" w:pos="709"/>
                <w:tab w:val="left" w:pos="7938" w:leader="none"/>
              </w:tabs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С.В.Баженова</w:t>
            </w:r>
          </w:p>
        </w:tc>
        <w:tc>
          <w:tcPr>
            <w:tcW w:w="6765" w:type="dxa"/>
            <w:tcBorders/>
          </w:tcPr>
          <w:p>
            <w:pPr>
              <w:pStyle w:val="Normal"/>
              <w:widowControl/>
              <w:tabs>
                <w:tab w:val="clear" w:pos="709"/>
                <w:tab w:val="left" w:pos="7938" w:leader="none"/>
              </w:tabs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организационно-правового отдела</w:t>
            </w:r>
          </w:p>
        </w:tc>
      </w:tr>
      <w:tr>
        <w:trPr/>
        <w:tc>
          <w:tcPr>
            <w:tcW w:w="2940" w:type="dxa"/>
            <w:tcBorders/>
          </w:tcPr>
          <w:p>
            <w:pPr>
              <w:pStyle w:val="Normal"/>
              <w:widowControl/>
              <w:tabs>
                <w:tab w:val="clear" w:pos="709"/>
                <w:tab w:val="left" w:pos="7938" w:leader="none"/>
              </w:tabs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  <w:tc>
          <w:tcPr>
            <w:tcW w:w="6765" w:type="dxa"/>
            <w:tcBorders/>
          </w:tcPr>
          <w:p>
            <w:pPr>
              <w:pStyle w:val="Normal"/>
              <w:widowControl/>
              <w:tabs>
                <w:tab w:val="clear" w:pos="709"/>
                <w:tab w:val="left" w:pos="7938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940" w:type="dxa"/>
            <w:tcBorders/>
          </w:tcPr>
          <w:p>
            <w:pPr>
              <w:pStyle w:val="Normal"/>
              <w:widowControl/>
              <w:tabs>
                <w:tab w:val="clear" w:pos="709"/>
                <w:tab w:val="left" w:pos="7938" w:leader="none"/>
              </w:tabs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Т.В.Саркисова-</w:t>
            </w:r>
          </w:p>
        </w:tc>
        <w:tc>
          <w:tcPr>
            <w:tcW w:w="6765" w:type="dxa"/>
            <w:tcBorders/>
          </w:tcPr>
          <w:p>
            <w:pPr>
              <w:pStyle w:val="Normal"/>
              <w:widowControl/>
              <w:tabs>
                <w:tab w:val="clear" w:pos="709"/>
                <w:tab w:val="left" w:pos="7938" w:leader="none"/>
              </w:tabs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организационно-правовым отделом Шарангского муниципального района</w:t>
            </w:r>
          </w:p>
        </w:tc>
      </w:tr>
      <w:tr>
        <w:trPr/>
        <w:tc>
          <w:tcPr>
            <w:tcW w:w="2940" w:type="dxa"/>
            <w:tcBorders/>
          </w:tcPr>
          <w:p>
            <w:pPr>
              <w:pStyle w:val="Normal"/>
              <w:widowControl/>
              <w:tabs>
                <w:tab w:val="clear" w:pos="709"/>
                <w:tab w:val="left" w:pos="7938" w:leader="none"/>
              </w:tabs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Н.В.Лучкова</w:t>
            </w:r>
          </w:p>
        </w:tc>
        <w:tc>
          <w:tcPr>
            <w:tcW w:w="6765" w:type="dxa"/>
            <w:tcBorders/>
          </w:tcPr>
          <w:p>
            <w:pPr>
              <w:pStyle w:val="Normal"/>
              <w:widowControl/>
              <w:tabs>
                <w:tab w:val="clear" w:pos="709"/>
                <w:tab w:val="left" w:pos="7938" w:leader="none"/>
              </w:tabs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Земского собрания Шарангского муниципального района (по согласованию)</w:t>
            </w:r>
          </w:p>
        </w:tc>
      </w:tr>
    </w:tbl>
    <w:p>
      <w:pPr>
        <w:pStyle w:val="Normal"/>
        <w:tabs>
          <w:tab w:val="clear" w:pos="709"/>
          <w:tab w:val="left" w:pos="7938" w:leader="none"/>
        </w:tabs>
        <w:spacing w:lineRule="auto" w:line="240"/>
        <w:ind w:left="0" w:right="0" w:firstLine="567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sectPr>
      <w:headerReference w:type="default" r:id="rId4"/>
      <w:type w:val="nextPage"/>
      <w:pgSz w:w="11906" w:h="16838"/>
      <w:pgMar w:left="1418" w:right="850" w:header="930" w:top="987" w:footer="0" w:bottom="1118" w:gutter="0"/>
      <w:pgNumType w:fmt="decimal"/>
      <w:formProt w:val="false"/>
      <w:textDirection w:val="lrTb"/>
      <w:docGrid w:type="default" w:linePitch="36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modern"/>
    <w:pitch w:val="default"/>
  </w:font>
  <w:font w:name="Arial">
    <w:charset w:val="cc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 w:customStyle="1">
    <w:name w:val="Заголовок"/>
    <w:basedOn w:val="Normal"/>
    <w:next w:val="Style14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4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5">
    <w:name w:val="List"/>
    <w:basedOn w:val="Style14"/>
    <w:rsid w:val="0055234d"/>
    <w:pPr/>
    <w:rPr>
      <w:rFonts w:cs="Mangal"/>
    </w:rPr>
  </w:style>
  <w:style w:type="paragraph" w:styleId="Style16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8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9" w:customStyle="1">
    <w:name w:val="Верхний и нижний колонтитулы"/>
    <w:basedOn w:val="Normal"/>
    <w:qFormat/>
    <w:rsid w:val="00fe4288"/>
    <w:pPr/>
    <w:rPr/>
  </w:style>
  <w:style w:type="paragraph" w:styleId="Style20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1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2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3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paragraph" w:styleId="ConsPlusNonformat">
    <w:name w:val="ConsPlusNonformat"/>
    <w:qFormat/>
    <w:pPr>
      <w:widowControl w:val="false"/>
      <w:autoSpaceDE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2"/>
      <w:sz w:val="20"/>
      <w:szCs w:val="20"/>
      <w:lang w:val="ru-RU" w:bidi="ar-SA" w:eastAsia="zh-CN"/>
    </w:rPr>
  </w:style>
  <w:style w:type="paragraph" w:styleId="ConsPlusTitle">
    <w:name w:val="ConsPlusTitle"/>
    <w:qFormat/>
    <w:pPr>
      <w:widowControl w:val="false"/>
      <w:autoSpaceDE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2"/>
      <w:sz w:val="20"/>
      <w:szCs w:val="20"/>
      <w:lang w:val="ru-RU" w:bidi="ar-SA" w:eastAsia="zh-CN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Application>LibreOffice/7.1.4.2$Windows_X86_64 LibreOffice_project/a529a4fab45b75fefc5b6226684193eb000654f6</Application>
  <AppVersion>15.0000</AppVersion>
  <Pages>4</Pages>
  <Words>655</Words>
  <Characters>4934</Characters>
  <CharactersWithSpaces>5539</CharactersWithSpaces>
  <Paragraphs>62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2021-07-28T16:04:29Z</cp:lastPrinted>
  <dcterms:modified xsi:type="dcterms:W3CDTF">2021-07-28T16:04:45Z</dcterms:modified>
  <cp:revision>94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