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02.02.20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Муниципальную программу «Развитие агропромышленного комплекса Шарангского муниципального района Нижегородской области»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приведения в соответствие с решением Земского собрания Шарангского муниципального района Нижегородской области от 24.12.2020г. № 42 «О районном бюджете на 2021 год и на плановый период 2022 и 2023 годов», администрация Шарангского муниципального района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 о с т а н о в л я е т:</w:t>
      </w:r>
    </w:p>
    <w:p>
      <w:pPr>
        <w:pStyle w:val="ListParagraph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Муниципальную программу «Развитие агропромышленного комплекса Шарангского муниципального района Нижегородской области», утвержденную постановлением администрации Шарангского муниципального района от 15.09.2020г. № 365, следующие изменения: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Позицию «Объемы бюджетных ассигнований Программы за счет средств бюджетов всех уровней» паспорта Муниципальной программы (раздел 1) изложить в следующей редакции: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W w:w="9585" w:type="dxa"/>
        <w:jc w:val="left"/>
        <w:tblInd w:w="9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2099"/>
        <w:gridCol w:w="1110"/>
        <w:gridCol w:w="1305"/>
        <w:gridCol w:w="1560"/>
        <w:gridCol w:w="1410"/>
        <w:gridCol w:w="2100"/>
      </w:tblGrid>
      <w:tr>
        <w:trPr>
          <w:trHeight w:val="931" w:hRule="atLeast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Объемы бюджетных ассигнований Программы за счет бюджетов всех уровней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программа: всего – 186 367,0 тыс. рублей, в том числе по годам реализации:</w:t>
            </w:r>
          </w:p>
        </w:tc>
      </w:tr>
      <w:tr>
        <w:trPr>
          <w:trHeight w:val="675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(тыс.руб.)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 расходы:</w:t>
            </w:r>
          </w:p>
        </w:tc>
      </w:tr>
      <w:tr>
        <w:trPr>
          <w:trHeight w:val="1031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(тыс.руб.)</w:t>
            </w:r>
          </w:p>
        </w:tc>
      </w:tr>
      <w:tr>
        <w:trPr>
          <w:trHeight w:val="594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36 247,5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27 962,0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7 409,5</w:t>
            </w:r>
          </w:p>
        </w:tc>
      </w:tr>
      <w:tr>
        <w:trPr>
          <w:trHeight w:val="579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35 086,3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27 214,0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7 398,3</w:t>
            </w:r>
          </w:p>
        </w:tc>
      </w:tr>
      <w:tr>
        <w:trPr>
          <w:trHeight w:val="545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35 143,8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27 194,9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7 474,9</w:t>
            </w:r>
          </w:p>
        </w:tc>
      </w:tr>
      <w:tr>
        <w:trPr>
          <w:trHeight w:val="283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39 944,7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25 678,4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13 827,3</w:t>
            </w:r>
          </w:p>
        </w:tc>
      </w:tr>
      <w:tr>
        <w:trPr>
          <w:trHeight w:val="280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39 944,7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25 678,4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13 827,3</w:t>
            </w:r>
          </w:p>
        </w:tc>
      </w:tr>
      <w:tr>
        <w:trPr>
          <w:trHeight w:val="589" w:hRule="atLeast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bCs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Развитие производства</w:t>
            </w:r>
            <w:r>
              <w:rPr>
                <w:rFonts w:cs="Times New Roman"/>
                <w:bCs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: всего –164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>
              <w:rPr>
                <w:rFonts w:cs="Times New Roman"/>
                <w:sz w:val="24"/>
                <w:szCs w:val="24"/>
              </w:rPr>
              <w:t>685,5 тыс. рублей, в том числе по годам реализации:</w:t>
            </w:r>
          </w:p>
        </w:tc>
      </w:tr>
      <w:tr>
        <w:trPr>
          <w:trHeight w:val="304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расходы:</w:t>
            </w:r>
          </w:p>
        </w:tc>
      </w:tr>
      <w:tr>
        <w:trPr>
          <w:trHeight w:val="589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 (тыс. руб.)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областного бюджета (тыс.руб.)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федерального бюджета (тыс.руб.)</w:t>
            </w:r>
          </w:p>
        </w:tc>
      </w:tr>
      <w:tr>
        <w:trPr>
          <w:trHeight w:val="589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31 513,8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23 630,3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7 409,5</w:t>
            </w:r>
          </w:p>
        </w:tc>
      </w:tr>
      <w:tr>
        <w:trPr>
          <w:trHeight w:val="589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30 754,6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22 882,3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7 398,3</w:t>
            </w:r>
          </w:p>
        </w:tc>
      </w:tr>
      <w:tr>
        <w:trPr>
          <w:trHeight w:val="589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30 812,1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22 863,2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7 474,9</w:t>
            </w:r>
          </w:p>
        </w:tc>
      </w:tr>
      <w:tr>
        <w:trPr>
          <w:trHeight w:val="589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35 802,5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21536,2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13 827,3</w:t>
            </w:r>
          </w:p>
        </w:tc>
      </w:tr>
      <w:tr>
        <w:trPr>
          <w:trHeight w:val="398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35 802,5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21536,2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13 827,3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bCs/>
                <w:sz w:val="24"/>
                <w:szCs w:val="24"/>
              </w:rPr>
              <w:t>"Комплексное развитие</w:t>
            </w:r>
            <w:r>
              <w:rPr>
                <w:rFonts w:cs="Times New Roman"/>
                <w:sz w:val="24"/>
                <w:szCs w:val="24"/>
              </w:rPr>
              <w:t xml:space="preserve"> сельских территорий» всего – 402,0 тыс. рублей</w:t>
            </w:r>
            <w:r>
              <w:rPr>
                <w:rFonts w:cs="Times New Roman"/>
                <w:bCs/>
                <w:sz w:val="24"/>
                <w:szCs w:val="24"/>
              </w:rPr>
              <w:t xml:space="preserve"> за счет средств бюджетов всех уровней: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(тыс.руб.)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расходы:</w:t>
            </w:r>
          </w:p>
        </w:tc>
      </w:tr>
      <w:tr>
        <w:trPr>
          <w:trHeight w:val="958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(тыс.руб.)</w:t>
            </w:r>
          </w:p>
        </w:tc>
      </w:tr>
      <w:tr>
        <w:trPr>
          <w:trHeight w:val="412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bCs/>
                <w:sz w:val="24"/>
                <w:szCs w:val="24"/>
              </w:rPr>
              <w:t>"Обеспечение реализации муниципальной программы"</w:t>
            </w:r>
            <w:r>
              <w:rPr>
                <w:rFonts w:cs="Times New Roman"/>
                <w:sz w:val="24"/>
                <w:szCs w:val="24"/>
              </w:rPr>
              <w:t>: всего – 21 279,1 тыс. рублей, за счет средств областного бюджета, в том числе по годам реализации:</w:t>
            </w:r>
          </w:p>
        </w:tc>
      </w:tr>
      <w:tr>
        <w:trPr>
          <w:trHeight w:val="328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(тыс.руб.)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по годам:</w:t>
            </w:r>
          </w:p>
        </w:tc>
      </w:tr>
      <w:tr>
        <w:trPr>
          <w:trHeight w:val="1020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(тыс.руб.)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>
          <w:trHeight w:val="589" w:hRule="atLeast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4 331,7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»</w:t>
      </w:r>
    </w:p>
    <w:p>
      <w:pPr>
        <w:pStyle w:val="ListParagraph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разделе 2. Текстовая часть Муниципальной программы: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1.2.1. В пункте 2.4. Таблицу 1 «Перечень основных мероприятий Муниципальной программы» изложить в новой редакции (Приложение 1 к настоящему постановлению).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1.2.2. В пункте 2.6.: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- таблицу 3 «Ресурсное обеспечение реализации Муниципальной программы за счет средств местного бюджета» изложить в новой редакции (Приложение 2 к настоящему постановлению);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- таблицу 4 «Прогнозная оценка расходов на реализацию Муниципальной программы за счет всех источников» изложить в новой редакции (Приложение 3 к настоящему постановлению).</w:t>
      </w:r>
    </w:p>
    <w:p>
      <w:pPr>
        <w:pStyle w:val="ListParagraph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разделе 3. Подпрограммы Муниципальной программы: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1.3.1. Позицию «Объемы бюджетных ассигнований Подпрограммы 1 за счет средств бюджетов всех уровней» паспорта Подпрограммы 1 «Развитие сельского хозяйства, пищевой и перерабатывающей промышленности Шарангского муниципального района Нижегородской области» до 2025 года изложить в следующей редакции: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</w:p>
    <w:tbl>
      <w:tblPr>
        <w:tblStyle w:val="af7"/>
        <w:tblW w:w="964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4"/>
        <w:gridCol w:w="7380"/>
      </w:tblGrid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Объемы бюджетных ассигнований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Подпрограммы 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 счет бюджетов всех уровней</w:t>
            </w:r>
          </w:p>
        </w:tc>
        <w:tc>
          <w:tcPr>
            <w:tcW w:w="7380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Подпрограмма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"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производства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"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 всего – 164 685,5 тыс. рублей, в том числе по годам реализации: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2021 год – 31 513,8 тыс. рублей;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год – 30 754,6 тыс. рублей;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 год – 30 812,1 тыс. рублей;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 год – 35 802,5 тыс. рублей;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год – 35 802,5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»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1.3.2. Позицию «Объемы бюджетных ассигнований Подпрограммы 4 за счет средств местного бюджета» паспорта Подпрограммы 4 «Обеспечение реализации Муниципальной программы» изложить в следующей редакции: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</w:p>
    <w:tbl>
      <w:tblPr>
        <w:tblStyle w:val="af7"/>
        <w:tblW w:w="9601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4"/>
        <w:gridCol w:w="7336"/>
      </w:tblGrid>
      <w:tr>
        <w:trPr>
          <w:trHeight w:val="381" w:hRule="atLeast"/>
        </w:trPr>
        <w:tc>
          <w:tcPr>
            <w:tcW w:w="2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Объемы бюджетных ассигнований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Подпрограммы 4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счет областного бюджета</w:t>
            </w:r>
          </w:p>
        </w:tc>
        <w:tc>
          <w:tcPr>
            <w:tcW w:w="733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Подпрограмма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"Обеспечение реализации": всего –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21 279,1 тыс. руб., в том числе по годам реализации: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2021 год – 4 331,7 тыс. рублей;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год – 4 331,7 тыс. рублей;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 год – 4 331,7 тыс. рублей;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 год – 4 142,0 тыс. рублей;</w:t>
            </w:r>
          </w:p>
          <w:p>
            <w:pPr>
              <w:pStyle w:val="ListParagraph"/>
              <w:widowControl/>
              <w:spacing w:lineRule="auto" w:line="240" w:before="0" w:after="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год – 4 142,0 тыс. рублей.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360" w:before="0" w:after="0"/>
        <w:ind w:left="0" w:right="0" w:firstLine="709"/>
        <w:contextualSpacing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1.3.3. Таблицу 5 «Аналитическое распределение бюджетных средств, направляемых на реализацию Подпрограммы "Обеспечение реализации Муниципальной программы" (за счет средств областного бюджета), тыс. руб.» изложить в новой редакции (Приложение 4 к настоящему постановлению).</w:t>
      </w:r>
    </w:p>
    <w:p>
      <w:pPr>
        <w:pStyle w:val="ListParagraph"/>
        <w:widowControl w:val="false"/>
        <w:numPr>
          <w:ilvl w:val="1"/>
          <w:numId w:val="3"/>
        </w:numPr>
        <w:spacing w:lineRule="auto" w:line="360" w:before="0" w:after="0"/>
        <w:ind w:left="0" w:right="0" w:firstLine="709"/>
        <w:contextualSpacing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разделе 4. Оценка планируемой эффективности Муниципальной программы таблицу «Экономическая эффективность реализации Подпрограммы 1» изложить в следующей редакции: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center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«Экономическая эффективность реализации Подпрограммы 1</w:t>
      </w:r>
    </w:p>
    <w:tbl>
      <w:tblPr>
        <w:tblW w:w="958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00"/>
        <w:gridCol w:w="1065"/>
        <w:gridCol w:w="1080"/>
        <w:gridCol w:w="1079"/>
        <w:gridCol w:w="1080"/>
        <w:gridCol w:w="1080"/>
      </w:tblGrid>
      <w:tr>
        <w:trPr>
          <w:trHeight w:val="534" w:hRule="atLeast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 год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>
        <w:trPr>
          <w:trHeight w:val="238" w:hRule="atLeast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 местного бюджета на реализацию основных мероприятий подпрограммы, тыс.руб.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652,0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250,0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439,0</w:t>
            </w:r>
          </w:p>
        </w:tc>
      </w:tr>
      <w:tr>
        <w:trPr>
          <w:trHeight w:val="238" w:hRule="atLeast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Стоимость валовой сельскохозяйственной продукции в действующих ценах, тыс. руб.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787,0</w:t>
            </w:r>
          </w:p>
        </w:tc>
      </w:tr>
      <w:tr>
        <w:trPr>
          <w:trHeight w:val="238" w:hRule="atLeast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местного бюджета на сельское хозяйство в расчете на 1 рубль произведенной сельскохозяйственной продукции, руб.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0,56</w:t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spacing w:lineRule="auto" w:line="360"/>
        <w:ind w:left="0" w:right="0" w:firstLine="709"/>
        <w:jc w:val="right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ListParagraph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2. Контроль за исполнением настоящего постановления возложить на начальника управления сельского хозяйства администрации Шарангского муниципального района О.А. Лежнину.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Приложение 1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т 02.02.2021 г. № 58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«Таблица 1</w:t>
      </w:r>
    </w:p>
    <w:p>
      <w:pPr>
        <w:pStyle w:val="ListParagraph"/>
        <w:widowControl w:val="false"/>
        <w:numPr>
          <w:ilvl w:val="0"/>
          <w:numId w:val="0"/>
        </w:numPr>
        <w:ind w:left="405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tbl>
      <w:tblPr>
        <w:tblW w:w="157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3"/>
        <w:gridCol w:w="2247"/>
        <w:gridCol w:w="1381"/>
        <w:gridCol w:w="1356"/>
        <w:gridCol w:w="1552"/>
        <w:gridCol w:w="1098"/>
        <w:gridCol w:w="1315"/>
        <w:gridCol w:w="1205"/>
        <w:gridCol w:w="1205"/>
        <w:gridCol w:w="1208"/>
        <w:gridCol w:w="2409"/>
      </w:tblGrid>
      <w:tr>
        <w:trPr>
          <w:tblHeader w:val="true"/>
          <w:trHeight w:val="743" w:hRule="atLeast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9" w:right="-11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Категория расходов (капвложения, НИОКР и прочие расходы)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14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84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Объем финансирования (по годам) за счет средств бюджетов всех уровней, тыс. рублей</w:t>
            </w:r>
          </w:p>
        </w:tc>
      </w:tr>
      <w:tr>
        <w:trPr>
          <w:tblHeader w:val="true"/>
          <w:trHeight w:val="630" w:hRule="atLeast"/>
        </w:trPr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950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0"/>
                <w:szCs w:val="20"/>
              </w:rPr>
              <w:t xml:space="preserve">«Развитие агропромышленного комплекса Шарангского муниципального района Нижегородской области» 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36 247,5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35 086,3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35 143,8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39 944,7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39 944,7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184 367,0</w:t>
            </w:r>
          </w:p>
        </w:tc>
      </w:tr>
      <w:tr>
        <w:trPr>
          <w:trHeight w:val="318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1. Развитие производственно-финансовой деятельности организаций агропромышленного комплекса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31 513,8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30 754,6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30 812,1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35 802,5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35 802,5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right="-16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165 087,5</w:t>
            </w:r>
          </w:p>
        </w:tc>
      </w:tr>
      <w:tr>
        <w:trPr>
          <w:trHeight w:val="318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Развитие сельского хозяйства, пищевой и перерабатывающей промышленности Шарангского муниципального района Нижегородской области» </w:t>
            </w:r>
            <w:r>
              <w:rPr>
                <w:rFonts w:cs="Times New Roman"/>
                <w:bCs/>
                <w:sz w:val="20"/>
                <w:szCs w:val="20"/>
              </w:rPr>
              <w:t>до 2025 года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31 513,8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30 754,6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30 812,1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35 802,5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35 802,5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right="-16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165 087,5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12 071,8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11 276,9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11 334,4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19 516,4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19 516,4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73 715,9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13 315,5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9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13 360,5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9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13 360,5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9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12 118,0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9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12 118,0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64 272,5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9,3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39,7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88,7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крестьянских (фермерских) хозяйств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рисками в сельскохозяйственном производстве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Финансовое оздоровление сельскохозяйственных товаропроизводителей (предоставление средств на погашение реструктурированных долгов перед бюджетами всех уровней и государственными внебюджетными фондами)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5 643,2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5 643,2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5 643,2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3 689,4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3 689,4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24 308,4</w:t>
            </w:r>
          </w:p>
        </w:tc>
      </w:tr>
      <w:tr>
        <w:trPr>
          <w:trHeight w:val="174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5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Финансовая поддержка сельскохозяйственных предприятий Шарангского муниципального района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2 300,0</w:t>
            </w:r>
          </w:p>
        </w:tc>
      </w:tr>
      <w:tr>
        <w:trPr>
          <w:trHeight w:val="225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 на уплату земельного налога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224,0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224,0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224,0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189,0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189,0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1 050,0</w:t>
            </w:r>
          </w:p>
        </w:tc>
      </w:tr>
      <w:tr>
        <w:trPr>
          <w:trHeight w:val="464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Цель </w:t>
            </w:r>
            <w:r>
              <w:rPr>
                <w:rFonts w:cs="Times New Roman"/>
                <w:sz w:val="20"/>
                <w:szCs w:val="20"/>
              </w:rPr>
              <w:t>2. Создание условий для устойчивого развития сельских территорий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402,0</w:t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cs="Times New Roman"/>
                <w:bCs/>
                <w:sz w:val="20"/>
                <w:szCs w:val="20"/>
              </w:rPr>
              <w:t xml:space="preserve">«Комплексное </w:t>
            </w:r>
            <w:r>
              <w:rPr>
                <w:rFonts w:cs="Times New Roman"/>
                <w:sz w:val="20"/>
                <w:szCs w:val="20"/>
              </w:rPr>
              <w:t>развитие сельских территорий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2025 года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402,0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-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-91" w:right="-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капвложения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-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-91" w:right="-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капвложения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402,0</w:t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Цель 3</w:t>
            </w:r>
            <w:r>
              <w:rPr>
                <w:rFonts w:cs="Times New Roman"/>
                <w:sz w:val="20"/>
                <w:szCs w:val="20"/>
              </w:rPr>
              <w:t xml:space="preserve">. Обеспечение создания условий для реализации муниципальной программы 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4 331,7 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4 331,7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4 331,7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21 279,5</w:t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4 331,7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4 331,7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4 331,7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21 279,5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720" w:right="-7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2021-2025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23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4 331,7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4 331,7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4 331,7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21 279,5</w:t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540" w:right="653" w:header="1134" w:top="1648" w:footer="0" w:bottom="572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2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т 02.02.2021 г. № 58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«Таблица 3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sz w:val="24"/>
          <w:szCs w:val="24"/>
        </w:rPr>
      </w:pPr>
      <w:r>
        <w:rPr>
          <w:rFonts w:cs="Times New Roman"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tbl>
      <w:tblPr>
        <w:tblW w:w="15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5"/>
        <w:gridCol w:w="3309"/>
        <w:gridCol w:w="3132"/>
        <w:gridCol w:w="1410"/>
        <w:gridCol w:w="1424"/>
        <w:gridCol w:w="1411"/>
        <w:gridCol w:w="1485"/>
        <w:gridCol w:w="1437"/>
      </w:tblGrid>
      <w:tr>
        <w:trPr>
          <w:tblHeader w:val="true"/>
          <w:trHeight w:val="212" w:hRule="atLeast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Муниципальный заказчик- координатор, соисполнители</w:t>
            </w:r>
          </w:p>
        </w:tc>
        <w:tc>
          <w:tcPr>
            <w:tcW w:w="71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Расходы (тыс. руб.)</w:t>
            </w:r>
          </w:p>
        </w:tc>
      </w:tr>
      <w:tr>
        <w:trPr>
          <w:tblHeader w:val="true"/>
          <w:trHeight w:val="355" w:hRule="atLeast"/>
        </w:trPr>
        <w:tc>
          <w:tcPr>
            <w:tcW w:w="2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2021 год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2022 год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2023 год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2024 год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2025 год</w:t>
            </w:r>
          </w:p>
        </w:tc>
      </w:tr>
      <w:tr>
        <w:trPr>
          <w:tblHeader w:val="true"/>
          <w:trHeight w:val="237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«Развитие агропромышленного комплекса Шарангского муниципального района Нижегородской области»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876,0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</w:tr>
      <w:tr>
        <w:trPr>
          <w:trHeight w:val="630" w:hRule="atLeast"/>
        </w:trPr>
        <w:tc>
          <w:tcPr>
            <w:tcW w:w="206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Муниципальный заказчик-координатор Администрация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876,0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</w:tr>
      <w:tr>
        <w:trPr>
          <w:trHeight w:val="805" w:hRule="atLeast"/>
        </w:trPr>
        <w:tc>
          <w:tcPr>
            <w:tcW w:w="206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Программы – Управление сельского хозяйства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876,0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64" w:hRule="atLeast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Развитие сельского хозяйства, пищевой и перерабатывающей промышленности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2025 года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</w:tr>
      <w:tr>
        <w:trPr>
          <w:trHeight w:val="318" w:hRule="atLeast"/>
        </w:trPr>
        <w:tc>
          <w:tcPr>
            <w:tcW w:w="2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Муниципальный заказчик-координатор Администрация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</w:tr>
      <w:tr>
        <w:trPr>
          <w:trHeight w:val="318" w:hRule="atLeast"/>
        </w:trPr>
        <w:tc>
          <w:tcPr>
            <w:tcW w:w="2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Программы – Управление сельского хозяйства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</w:tr>
      <w:tr>
        <w:trPr>
          <w:trHeight w:val="214" w:hRule="atLeast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«Комплексное</w:t>
            </w:r>
            <w:r>
              <w:rPr>
                <w:rFonts w:cs="Times New Roman"/>
                <w:sz w:val="20"/>
                <w:szCs w:val="20"/>
              </w:rPr>
              <w:t xml:space="preserve"> развитие сельских территорий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2025 года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2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Муниципальный заказчик-координатор Администрация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2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Программы – Управление сельского хозяйства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402,0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Cs w:val="20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18" w:hRule="atLeast"/>
        </w:trPr>
        <w:tc>
          <w:tcPr>
            <w:tcW w:w="2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18" w:hRule="atLeast"/>
        </w:trPr>
        <w:tc>
          <w:tcPr>
            <w:tcW w:w="2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bookmarkStart w:id="0" w:name="Par265"/>
            <w:bookmarkStart w:id="1" w:name="Par265"/>
            <w:bookmarkEnd w:id="1"/>
          </w:p>
        </w:tc>
      </w:tr>
    </w:tbl>
    <w:p>
      <w:pPr>
        <w:sectPr>
          <w:headerReference w:type="default" r:id="rId6"/>
          <w:type w:val="nextPage"/>
          <w:pgSz w:orient="landscape" w:w="16838" w:h="11906"/>
          <w:pgMar w:left="540" w:right="653" w:header="1134" w:top="1648" w:footer="0" w:bottom="572" w:gutter="0"/>
          <w:pgNumType w:fmt="decimal"/>
          <w:formProt w:val="false"/>
          <w:textDirection w:val="lrTb"/>
          <w:docGrid w:type="default" w:linePitch="100" w:charSpace="0"/>
        </w:sect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r>
        <w:rPr/>
        <w:t>-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включены расходы, направленные на обеспечение создания условий для реализации Муниципальной программы. 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3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т 02.02.2021 г. № 58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«Таблица 4</w:t>
      </w:r>
    </w:p>
    <w:p>
      <w:pPr>
        <w:pStyle w:val="Style24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Прогнозная оценка расходов на реализацию Муниципальной программы за счет всех источников</w:t>
      </w:r>
    </w:p>
    <w:tbl>
      <w:tblPr>
        <w:tblW w:w="155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87"/>
        <w:gridCol w:w="2385"/>
        <w:gridCol w:w="5334"/>
        <w:gridCol w:w="1201"/>
        <w:gridCol w:w="1125"/>
        <w:gridCol w:w="1260"/>
        <w:gridCol w:w="1410"/>
        <w:gridCol w:w="1195"/>
      </w:tblGrid>
      <w:tr>
        <w:trPr>
          <w:tblHeader w:val="true"/>
          <w:trHeight w:val="30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Оценка расходов (тыс. руб.)</w:t>
            </w:r>
          </w:p>
        </w:tc>
      </w:tr>
      <w:tr>
        <w:trPr>
          <w:tblHeader w:val="true"/>
          <w:trHeight w:val="30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 год</w:t>
            </w:r>
          </w:p>
        </w:tc>
      </w:tr>
      <w:tr>
        <w:trPr>
          <w:tblHeader w:val="true"/>
          <w:trHeight w:val="145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Развитие агропромышленного комплекса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36 247,5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35 086,3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35 143,8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39 944,7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39 944,7</w:t>
            </w:r>
          </w:p>
        </w:tc>
      </w:tr>
      <w:tr>
        <w:trPr>
          <w:trHeight w:val="2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876,0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</w:tr>
      <w:tr>
        <w:trPr>
          <w:trHeight w:val="19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27 962,0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27 214,0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27 194,9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25 678,4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25 678,4</w:t>
            </w:r>
          </w:p>
        </w:tc>
      </w:tr>
      <w:tr>
        <w:trPr>
          <w:trHeight w:val="10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7 409,5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7 398,3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7 474,9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13 827,3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13 827,3</w:t>
            </w:r>
          </w:p>
        </w:tc>
      </w:tr>
      <w:tr>
        <w:trPr>
          <w:trHeight w:val="339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Развитие сельского хозяйства, пищевой и перерабатывающей промышленности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2025 года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31 513,8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30 754,6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30 812,1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35 802,5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35 802,5</w:t>
            </w:r>
          </w:p>
        </w:tc>
      </w:tr>
      <w:tr>
        <w:trPr>
          <w:trHeight w:val="121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23 630,3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22 882,3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22 863,2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21 536,2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21 536,2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7 409,5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7 398,3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7 474,9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13 827,3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13 827,3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16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12 071,8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11 276,9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11 334,4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19 516,4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19 516,4</w:t>
            </w:r>
          </w:p>
        </w:tc>
      </w:tr>
      <w:tr>
        <w:trPr>
          <w:trHeight w:val="23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7 745,8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6 973,4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6 954,3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8 179,1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8 179,1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4 326,0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4 303,5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4 380,1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11 337,3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11 337,3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1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13 315,5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13 360,5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13 360,5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12 118,0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12 118,0</w:t>
            </w:r>
          </w:p>
        </w:tc>
      </w:tr>
      <w:tr>
        <w:trPr>
          <w:trHeight w:val="19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10 238,2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10 265,7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10 265,7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9 654,5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9 654,5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3 077,3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3 094,8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3 094,8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2 463,5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2 463,5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18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39,7</w:t>
            </w:r>
          </w:p>
        </w:tc>
      </w:tr>
      <w:tr>
        <w:trPr>
          <w:trHeight w:val="129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39,7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Cs/>
                <w:color w:val="0070C0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крестьянских (фермерских) хозяйств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1.5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рисками в сельскохозяйственном производстве (субсидирование части затрат)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Финансовое оздоровление сельскохозяйственных товаропроизводителей (предоставление средств на погашение реструктурированных долгов перед бюджетами всех уровней и государственными внебюджетными фондами)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2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1.7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1.8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1.9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5 643,2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5 643,2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5 643,2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3 689,4</w:t>
            </w:r>
          </w:p>
        </w:tc>
      </w:tr>
      <w:tr>
        <w:trPr>
          <w:trHeight w:val="177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12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5 643,2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5 643,2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5 643,2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3 689,4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3 689,4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2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1.10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1.11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Финансовая поддержка сельскохозяйственных предприятий Шарангского муниципального района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</w:tr>
      <w:tr>
        <w:trPr>
          <w:trHeight w:val="16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439,0</w:t>
            </w:r>
          </w:p>
        </w:tc>
      </w:tr>
      <w:tr>
        <w:trPr>
          <w:trHeight w:val="10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«Комплексное</w:t>
            </w:r>
            <w:r>
              <w:rPr>
                <w:rFonts w:cs="Times New Roman"/>
                <w:sz w:val="20"/>
                <w:szCs w:val="20"/>
              </w:rPr>
              <w:t xml:space="preserve"> развитие сельских территорий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2025 года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02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12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Cs/>
                <w:color w:val="0070C0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Cs/>
                <w:color w:val="0070C0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147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2.2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4 331,7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4 331,7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4 331,7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4 142,0</w:t>
            </w:r>
          </w:p>
        </w:tc>
      </w:tr>
      <w:tr>
        <w:trPr>
          <w:trHeight w:val="19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2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4 331,7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4 331,7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4 331,7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4 142,0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EndnoteCharacters"/>
        </w:rPr>
        <w:t>*</w:t>
      </w:r>
      <w:r>
        <w:rPr/>
        <w:t xml:space="preserve"> расходы областного бюджета указаны в соответствии с ресурсным обеспечением реализации Государственной программы за счет средств областного бюджета.</w:t>
      </w:r>
    </w:p>
    <w:p>
      <w:p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EndnoteCharacters"/>
        </w:rPr>
        <w:t>**</w:t>
      </w:r>
      <w:r>
        <w:rPr/>
        <w:t xml:space="preserve"> расходы местных бюджетов указаны в соответствии с ресурсным обеспечением реализации Муниципальной программы за счет средств местных бюджетов.</w:t>
      </w:r>
    </w:p>
    <w:p>
      <w:p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EndnoteCharacters"/>
        </w:rPr>
        <w:t>****</w:t>
      </w:r>
      <w:r>
        <w:rPr/>
        <w:t xml:space="preserve"> прямые расходы федерального бюджета.</w:t>
      </w:r>
    </w:p>
    <w:p>
      <w:pPr>
        <w:sectPr>
          <w:headerReference w:type="default" r:id="rId7"/>
          <w:type w:val="nextPage"/>
          <w:pgSz w:orient="landscape" w:w="16838" w:h="11906"/>
          <w:pgMar w:left="540" w:right="653" w:header="1134" w:top="1648" w:footer="0" w:bottom="572" w:gutter="0"/>
          <w:pgNumType w:fmt="decimal"/>
          <w:formProt w:val="false"/>
          <w:textDirection w:val="lrTb"/>
          <w:docGrid w:type="default" w:linePitch="100" w:charSpace="0"/>
        </w:sect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EndnoteCharacters"/>
        </w:rPr>
        <w:t>***</w:t>
      </w:r>
      <w:r>
        <w:rPr/>
        <w:t xml:space="preserve"> юридические лица – сельскохозяйственные предприятия и организации Шарангского муниципального района Нижегородской области.»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4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т 02.02.2021 г. № 58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24"/>
        <w:widowControl/>
        <w:suppressAutoHyphens w:val="true"/>
        <w:overflowPunct w:val="fals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>«Таблица 5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1134" w:right="1191" w:hanging="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/>
        </w:rPr>
        <w:t>Аналитическое распределение бюджетных средств, направляемых на реализацию Подпрограммы "Обеспечение реализации Муниципальной программы" (за счет средств областного бюджета), тыс. руб.</w:t>
      </w:r>
    </w:p>
    <w:tbl>
      <w:tblPr>
        <w:tblW w:w="15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44"/>
        <w:gridCol w:w="3401"/>
        <w:gridCol w:w="1185"/>
        <w:gridCol w:w="1201"/>
        <w:gridCol w:w="1064"/>
        <w:gridCol w:w="1141"/>
        <w:gridCol w:w="1140"/>
        <w:gridCol w:w="1066"/>
        <w:gridCol w:w="1139"/>
        <w:gridCol w:w="1140"/>
        <w:gridCol w:w="1152"/>
      </w:tblGrid>
      <w:tr>
        <w:trPr>
          <w:tblHeader w:val="true"/>
          <w:trHeight w:val="691" w:hRule="atLeast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(тыс. руб.)</w:t>
            </w:r>
          </w:p>
        </w:tc>
      </w:tr>
      <w:tr>
        <w:trPr>
          <w:tblHeader w:val="true"/>
          <w:trHeight w:val="449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КВСР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РзПр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КЦСР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 год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программа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"</w:t>
            </w:r>
            <w:r>
              <w:rPr>
                <w:rFonts w:cs="Times New Roman"/>
                <w:sz w:val="20"/>
                <w:szCs w:val="20"/>
              </w:rPr>
              <w:t>Развитие агропромышленного комплекса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Подпрограмма 4 "</w:t>
            </w:r>
            <w:r>
              <w:rPr>
                <w:rFonts w:cs="Times New Roman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4331,7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4331,7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4331,7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4 142,2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4 142,2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2 996,8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2 996,8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2 996,8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2 825,4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2 825,4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897,8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897,8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897,8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846,0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846,0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96,1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96,1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96,1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89,1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89,1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207,5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207,5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207,5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381,2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381,2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0,5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 w:val="fals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»</w:t>
      </w:r>
    </w:p>
    <w:sectPr>
      <w:headerReference w:type="default" r:id="rId8"/>
      <w:type w:val="nextPage"/>
      <w:pgSz w:orient="landscape" w:w="16838" w:h="11906"/>
      <w:pgMar w:left="540" w:right="653" w:header="1134" w:top="1648" w:footer="0" w:bottom="5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sz w:val="24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4">
    <w:name w:val="End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LibreOffice/7.0.4.2$Windows_X86_64 LibreOffice_project/dcf040e67528d9187c66b2379df5ea4407429775</Application>
  <AppVersion>15.0000</AppVersion>
  <Pages>17</Pages>
  <Words>2759</Words>
  <Characters>18321</Characters>
  <CharactersWithSpaces>20286</CharactersWithSpaces>
  <Paragraphs>878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2021-02-04T14:43:25Z</cp:lastPrinted>
  <dcterms:modified xsi:type="dcterms:W3CDTF">2021-02-04T15:32:32Z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