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1418" w:leader="none"/>
        </w:tabs>
        <w:suppressAutoHyphens w:val="true"/>
        <w:overflowPunct w:val="false"/>
        <w:bidi w:val="0"/>
        <w:ind w:right="4536" w:hanging="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ru-RU"/>
        </w:rPr>
        <w:t>О проведении выездной плановой проверки МБДОУ д/с «Малыш» д. Пестово Шарангского  района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51" w:leader="none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Руководствуясь ст.14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Положением о муниципальном земельном контроле на территории Шарангского муниципального района, утвержденным решением Земского собрания Шарангского района Нижегородской области от 30.06.2017 г. № 26, ежегодным планом проведения плановых проверок по соблюдению земельного законодательства: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Провести выездную плановую проверку в отношении МБДОУ д/с «Малыш».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2. Место нахождения: 606840, Нижегородская область, Шарангский район,   д. Пестово, ул. Центральная, д.54.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3.  Назначить лицом, уполномоченным на проведение выездной плановой проверки: Целищеву Надежду Васильевну специалиста 1 категории отдела экономики и имущественных отношений администрации Шарангского муниципального района.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4. Привлечь к проведению проверки в качестве экспертов, представителей экспертных организаций, следующих лиц: эксперты не привлекаются.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5. Настоящая проверка проводится в рамках осуществления муниципального земельного контроля на территории Шарангского муниципального района, реестровый номер функции в федеральной государственной информационной системе «Федеральный реестр государственных и муниципальных услуг (функций)» № 5222400010001020969.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6. Установить, что: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настоящая выездная плановая проверка проводится с целью контроля соблюдения земельного законодательства в области использования земельного участка по адресу: Нижегородская область, Шарангский район, д. Пестово, ул. Центральная, д.54, в соответствии с утвержденным ежегодным планом проведения плановых проверок по соблюдению земельного законодательства юридических лиц и индивидуальных предпринимателей  на 2021 год;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задачей настоящей плановой проверки является предупреждение, выявление и пресечение нарушений в области использования земельного участка по адресу: Нижегородская область, Шарангский район, д. Пестово, ул. Центральная, д.54.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7. Предметом настоящей проверки является: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соблюдение требований, установленных муниципальными правовыми актами в области использования земельного участка.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8. Срок проведения проверки: </w:t>
      </w:r>
      <w:r>
        <w:rPr>
          <w:sz w:val="28"/>
          <w:szCs w:val="28"/>
          <w:u w:val="single"/>
        </w:rPr>
        <w:t>15 рабочих часов.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К проведению проверки приступить «</w:t>
      </w:r>
      <w:r>
        <w:rPr>
          <w:sz w:val="28"/>
          <w:szCs w:val="28"/>
          <w:u w:val="single"/>
        </w:rPr>
        <w:t>19»  февраля 2021 года.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Проверку окончить не позднее «</w:t>
      </w:r>
      <w:r>
        <w:rPr>
          <w:sz w:val="28"/>
          <w:szCs w:val="28"/>
          <w:u w:val="single"/>
        </w:rPr>
        <w:t>20» февраля 2021 года.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9. Правовые основания проведения проверки: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9.1. Ст. 72 Земельного кодекса Российской Федерации;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9.2. Ст. 9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надзора»;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9.3. Раздел 2 Положения о муниципальном земельном контроле на территории Шарангского муниципального района, утвержденного решением Земского собрания Шарангского муниципального района Нижегородской области от 30.06.2017 г № 26.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</w:rPr>
        <w:t>10.</w:t>
      </w:r>
      <w:r>
        <w:rPr>
          <w:sz w:val="28"/>
          <w:szCs w:val="28"/>
        </w:rPr>
        <w:t xml:space="preserve"> Обязательные требования и (или) требования, установленные муниципальными правовыми актами, подлежащие проверке: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соблюдение земельного законодательства и требований по использованию земель.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11. В процессе проверки провести следующие мероприятия по контролю, необходимые для достижения целей и задач проведения проверки: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11.1. Ознакомление и рассмотрение документов МБДОУ д/с «Малыш» д. Пестово, ул. Центральная, д.54, по использованию земельного участка по адресу: Нижегородская область, Шарангский район, д. Пестово, ул. Центральная, д.54  – срок проведения 7 часов 30 минут.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11.2. Обследование земельного участка, используемого МБДОУ д/с «Малыш»  д. Пестово, ул. Центральная, д.54, по адресу: Нижегородская область, Шарангский район, д. Пестово, ул. Центральная, д.54 – срок проведения 7 часов 30минут.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12. Перечень положений об осуществлении муниципального земельного контроля, административных регламентов по осуществлению муниципального земельного контроля, необходимых для проведения проверки: 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Положение о муниципальном земельном контроле на территории Шарангского муниципального района, утвержденное решением Земского собрания Шарангского района от 30.06.2017 г. № 26;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Административный регламент по исполнению муниципальной функции «Осуществление муниципального земельного контроля на территории Шарангского муниципального района», утвержденный постановлением администрации Шарангского муниципального района от 18.05.2017 г. № 276.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13. Перечень документов, предоставление которых МБДОУ д/с «Малыш»  д. Пестово, ул.  Центральная, д.54, необходимо для достижения целей и задач проведения проверки:</w:t>
      </w:r>
    </w:p>
    <w:p>
      <w:pPr>
        <w:pStyle w:val="Normal"/>
        <w:tabs>
          <w:tab w:val="clear" w:pos="709"/>
          <w:tab w:val="left" w:pos="7513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свидетельство о государственной регистрации МБДОУ д/с «Малыш» д. Пестово (ОГРН);</w:t>
      </w:r>
    </w:p>
    <w:p>
      <w:pPr>
        <w:pStyle w:val="ListParagraph"/>
        <w:widowControl/>
        <w:suppressAutoHyphens w:val="true"/>
        <w:spacing w:lineRule="auto" w:line="360" w:before="0" w:after="0"/>
        <w:ind w:left="0" w:right="0" w:firstLine="709"/>
        <w:jc w:val="both"/>
        <w:rPr/>
      </w:pP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 w:eastAsia="zh-CN" w:bidi="ru-RU"/>
        </w:rPr>
        <w:t>- правоустанавливающие и правоподтверждающие документы на земельный участок по адресу: Нижегородская область, Шарангский район, д. Пестово, ул. Центральная, д.54.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suppressAutoHyphens w:val="tru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А.В.Медведева</w:t>
      </w:r>
    </w:p>
    <w:p>
      <w:pPr>
        <w:pStyle w:val="Normal"/>
        <w:suppressAutoHyphens w:val="true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1" w:header="825" w:top="1052" w:footer="0" w:bottom="983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>
    <w:name w:val="Font Style14"/>
    <w:basedOn w:val="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Style17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rsid w:val="005b2eda"/>
    <w:pPr/>
    <w:rPr>
      <w:rFonts w:cs="Mangal"/>
    </w:rPr>
  </w:style>
  <w:style w:type="paragraph" w:styleId="Style19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1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LibreOffice/7.0.4.2$Windows_X86_64 LibreOffice_project/dcf040e67528d9187c66b2379df5ea4407429775</Application>
  <AppVersion>15.0000</AppVersion>
  <Pages>4</Pages>
  <Words>584</Words>
  <Characters>4353</Characters>
  <CharactersWithSpaces>4917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2021-02-15T16:18:22Z</cp:lastPrinted>
  <dcterms:modified xsi:type="dcterms:W3CDTF">2021-02-15T16:18:30Z</dcterms:modified>
  <cp:revision>85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