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F5" w:rsidRDefault="000645F5">
      <w:pPr>
        <w:jc w:val="center"/>
        <w:rPr>
          <w:b/>
          <w:kern w:val="2"/>
          <w:sz w:val="32"/>
        </w:rPr>
      </w:pPr>
    </w:p>
    <w:p w:rsidR="00C70C29" w:rsidRPr="00C70C29" w:rsidRDefault="00C70C29">
      <w:pPr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Выписка</w:t>
      </w:r>
    </w:p>
    <w:p w:rsidR="000645F5" w:rsidRDefault="000645F5">
      <w:pPr>
        <w:rPr>
          <w:b/>
          <w:sz w:val="24"/>
          <w:szCs w:val="24"/>
        </w:rPr>
      </w:pPr>
    </w:p>
    <w:p w:rsidR="000645F5" w:rsidRDefault="00C70C29" w:rsidP="00C70C29">
      <w:pPr>
        <w:ind w:right="113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 Схемы водоснабжения и водоотведения на территории Шарангского муниципального района Нижегородской области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период 2019-2033 годов, утвержденная постановлением администрации Шарангского муниципального района от 25.11.2019 №631</w:t>
      </w:r>
    </w:p>
    <w:p w:rsidR="000645F5" w:rsidRDefault="000645F5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0645F5" w:rsidRDefault="00C70C29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645F5" w:rsidRDefault="00C70C2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водоснабжения и водоотведения на территории Шарангского муниципального района Нижегородской области (далее также - схема) - документ, содержащий материалы по обоснованию эффективного и безопасного функционирования системы водоснабжения и водоотведения, ее развития с учетом правового регулирования в области энергосбережения и повышения энергетической эффективности, санитарной и экологической безопасности.</w:t>
      </w:r>
    </w:p>
    <w:p w:rsidR="000645F5" w:rsidRDefault="00C70C2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разработки схемы водоснабжения и водоотведения на территории Шарангского муниципального района Нижегородской области является Федеральный закон от 07.12.2011 г№416-ФЗ «О водоснабжении и водоотведении». </w:t>
      </w:r>
    </w:p>
    <w:p w:rsidR="000645F5" w:rsidRDefault="00C70C2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водоснабжения и водоотведения разрабатывается в целях определение долгосрочной перспективы развития системы водоснабжения и водоотведения, обеспечения надежного водоснабжения и водоотведения наиболее рациональным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технологий, повышение надежности работы систем водоснабжения и водоотведения в соответствии с нормативными требованиями, обеспечение жителей района водоснабжением и водоотведением, улучшение качества жизни за счет развития коммунальной инфраструктуры существующих объектов.</w:t>
      </w:r>
    </w:p>
    <w:p w:rsidR="000645F5" w:rsidRDefault="00C70C29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при разработке схемы водоснабжения и водоотведения сельского поселения являются:</w:t>
      </w:r>
    </w:p>
    <w:p w:rsidR="000645F5" w:rsidRDefault="00C70C29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обследование системы водоснабжения и водоотведения, анализ существующей ситуации в водоснабжении района;</w:t>
      </w:r>
    </w:p>
    <w:p w:rsidR="000645F5" w:rsidRDefault="00C70C29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оптимального варианта развития водоснабжения и водоотведения и основные рекомендации по развитию системы водоснабжения и водоотведения.</w:t>
      </w:r>
    </w:p>
    <w:p w:rsidR="000645F5" w:rsidRDefault="000645F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645F5" w:rsidRDefault="00C70C2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Статья 3.Схема водоснабжения и водоотведения</w:t>
      </w:r>
    </w:p>
    <w:p w:rsidR="000645F5" w:rsidRDefault="00C70C29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территории Кушнурского сельсовета</w:t>
      </w:r>
    </w:p>
    <w:p w:rsidR="000645F5" w:rsidRDefault="00C70C29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Шарангского муниципального района</w:t>
      </w:r>
    </w:p>
    <w:p w:rsidR="000645F5" w:rsidRDefault="00C70C29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Нижегородской области</w:t>
      </w:r>
    </w:p>
    <w:p w:rsidR="000645F5" w:rsidRDefault="000645F5">
      <w:pPr>
        <w:pStyle w:val="ae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45F5" w:rsidRDefault="00C70C29">
      <w:pPr>
        <w:pStyle w:val="ae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1.Схема водоснабжения</w:t>
      </w:r>
    </w:p>
    <w:p w:rsidR="000645F5" w:rsidRDefault="00C70C29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Технико-экономическое состояние централизованных систем водоснабжения сельского поселения</w:t>
      </w:r>
    </w:p>
    <w:p w:rsidR="000645F5" w:rsidRDefault="00C70C2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системы и структуры водоснабжения поселения</w:t>
      </w:r>
    </w:p>
    <w:p w:rsidR="000645F5" w:rsidRDefault="00C70C29">
      <w:pPr>
        <w:pStyle w:val="af0"/>
        <w:shd w:val="clear" w:color="auto" w:fill="FFFFFF"/>
        <w:suppressAutoHyphens/>
        <w:spacing w:beforeAutospacing="0" w:afterAutospacing="0"/>
        <w:ind w:firstLine="567"/>
        <w:jc w:val="both"/>
      </w:pPr>
      <w:r>
        <w:rPr>
          <w:b/>
          <w:bCs/>
          <w:color w:val="222222"/>
        </w:rPr>
        <w:t>Кушнурский сельсовет</w:t>
      </w:r>
      <w:r>
        <w:rPr>
          <w:color w:val="222222"/>
        </w:rPr>
        <w:t> – сельское поселение в Шарангском муниципальном районе Нижегородской области. Административный центр -село Кушнур.</w:t>
      </w:r>
    </w:p>
    <w:p w:rsidR="000645F5" w:rsidRDefault="00C70C29">
      <w:pPr>
        <w:pStyle w:val="af0"/>
        <w:shd w:val="clear" w:color="auto" w:fill="FFFFFF"/>
        <w:suppressAutoHyphens/>
        <w:spacing w:beforeAutospacing="0" w:afterAutospacing="0"/>
        <w:ind w:firstLine="567"/>
        <w:jc w:val="both"/>
      </w:pPr>
      <w:r>
        <w:rPr>
          <w:color w:val="222222"/>
        </w:rPr>
        <w:t>Т</w:t>
      </w:r>
      <w:r>
        <w:t xml:space="preserve">ерритория Кушнурского сельсовета Шарангского муниципального района Нижегородской области составляют исторически сложившиеся земли 9 населенных пунктов. </w:t>
      </w: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01.01.2019 численность населения составляет 588 человек. </w:t>
      </w: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Территория Кушнурского сельсовета составляет 11788 гектаров, в том числе земли сельскохозяйственного назначения - 8241 га, земли поселений – 26,4 га. </w:t>
      </w:r>
    </w:p>
    <w:p w:rsidR="000645F5" w:rsidRDefault="00C70C2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Инженерное обеспечение состоит из систем водоснабжения, электроснабжения и теплоснабжения. Централизованное горячее водоснабжение отсутствует. Территория сельсовета не газифицирована. </w:t>
      </w: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Основным источником водоснабжения населения и хозяйств поселения являются подземные воды. Для добычи используются глубоководные скважины, не имеющие очистных сооружений, оббезараживающих установок. Водоснабжение централизовано осуществляется в одном населенном пункте - с.Кушнур. В остальных населенных пунктах используется индивидуальное водоснабжение - колодцы.</w:t>
      </w: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административном центре в с.Кушнур имеются 1 скважина, водонапорная башня. Имеются водопроводные сети протяженностью 4,705 км, из них 2,693 км -1970 года ввода в эксплуатацию и 2,012км - 2010 года ввода в эксплуатацию. Централизованно обеспечиваются водой 67 жилых домов и 2 социально значимых объекта. </w:t>
      </w: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существующих водозаборных узлов и скважин:</w:t>
      </w: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Скважина с.Кушнур - насос ЭЦВ 6-6,3-85.</w:t>
      </w:r>
    </w:p>
    <w:p w:rsidR="000645F5" w:rsidRDefault="00C70C29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0645F5" w:rsidRDefault="00C70C2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Характеристика водонапорных башен</w:t>
      </w:r>
    </w:p>
    <w:tbl>
      <w:tblPr>
        <w:tblW w:w="9540" w:type="dxa"/>
        <w:tblInd w:w="22" w:type="dxa"/>
        <w:tblLook w:val="01E0"/>
      </w:tblPr>
      <w:tblGrid>
        <w:gridCol w:w="584"/>
        <w:gridCol w:w="4245"/>
        <w:gridCol w:w="1934"/>
        <w:gridCol w:w="420"/>
        <w:gridCol w:w="2357"/>
      </w:tblGrid>
      <w:tr w:rsidR="000645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F5" w:rsidRDefault="00C7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F5" w:rsidRDefault="00C7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F5" w:rsidRDefault="00C7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постройки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F5" w:rsidRDefault="000645F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F5" w:rsidRDefault="00C7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м. куб.</w:t>
            </w:r>
          </w:p>
        </w:tc>
      </w:tr>
      <w:tr w:rsidR="000645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F5" w:rsidRDefault="00C70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F5" w:rsidRDefault="00C7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с.Кушнур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F5" w:rsidRDefault="00C70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F5" w:rsidRDefault="00064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F5" w:rsidRDefault="00C70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0645F5" w:rsidRDefault="000645F5">
      <w:pPr>
        <w:jc w:val="both"/>
        <w:rPr>
          <w:sz w:val="24"/>
          <w:szCs w:val="24"/>
        </w:rPr>
      </w:pP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Водопроводная сеть жилого фонда представляет собой систему водопроводных труб диаметром 40-90мм. Материал, из которого выполнен водопровод: сталь, полиэтилен. Таблица 2.</w:t>
      </w:r>
    </w:p>
    <w:p w:rsidR="000645F5" w:rsidRDefault="00C70C2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Характеристика водопроводных сетей.</w:t>
      </w:r>
    </w:p>
    <w:tbl>
      <w:tblPr>
        <w:tblStyle w:val="af1"/>
        <w:tblW w:w="9645" w:type="dxa"/>
        <w:tblInd w:w="7" w:type="dxa"/>
        <w:tblLook w:val="04A0"/>
      </w:tblPr>
      <w:tblGrid>
        <w:gridCol w:w="1822"/>
        <w:gridCol w:w="1994"/>
        <w:gridCol w:w="2083"/>
        <w:gridCol w:w="848"/>
        <w:gridCol w:w="2061"/>
        <w:gridCol w:w="837"/>
      </w:tblGrid>
      <w:tr w:rsidR="000645F5">
        <w:tc>
          <w:tcPr>
            <w:tcW w:w="1664" w:type="dxa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5" w:type="dxa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b/>
                <w:sz w:val="24"/>
                <w:szCs w:val="24"/>
              </w:rPr>
              <w:t>Протяженность, м</w:t>
            </w:r>
          </w:p>
        </w:tc>
        <w:tc>
          <w:tcPr>
            <w:tcW w:w="1844" w:type="dxa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b/>
                <w:sz w:val="24"/>
                <w:szCs w:val="24"/>
              </w:rPr>
              <w:t>Конструктивные элементы сооружения</w:t>
            </w:r>
          </w:p>
        </w:tc>
        <w:tc>
          <w:tcPr>
            <w:tcW w:w="1035" w:type="dxa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b/>
                <w:sz w:val="24"/>
                <w:szCs w:val="24"/>
              </w:rPr>
              <w:t>Кол-во</w:t>
            </w:r>
          </w:p>
        </w:tc>
        <w:tc>
          <w:tcPr>
            <w:tcW w:w="1935" w:type="dxa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b/>
                <w:sz w:val="24"/>
                <w:szCs w:val="24"/>
              </w:rPr>
              <w:t>Материал конструктивных элементов</w:t>
            </w:r>
          </w:p>
        </w:tc>
        <w:tc>
          <w:tcPr>
            <w:tcW w:w="901" w:type="dxa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b/>
                <w:sz w:val="24"/>
                <w:szCs w:val="24"/>
              </w:rPr>
              <w:t>Год ввода</w:t>
            </w:r>
          </w:p>
        </w:tc>
      </w:tr>
      <w:tr w:rsidR="000645F5">
        <w:tc>
          <w:tcPr>
            <w:tcW w:w="1664" w:type="dxa"/>
            <w:vMerge w:val="restart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Сети водопроводные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2693</w:t>
            </w:r>
          </w:p>
        </w:tc>
        <w:tc>
          <w:tcPr>
            <w:tcW w:w="1844" w:type="dxa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трубы</w:t>
            </w:r>
          </w:p>
        </w:tc>
        <w:tc>
          <w:tcPr>
            <w:tcW w:w="1035" w:type="dxa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2693 м</w:t>
            </w:r>
          </w:p>
        </w:tc>
        <w:tc>
          <w:tcPr>
            <w:tcW w:w="1935" w:type="dxa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Полиэтилен, сталь,</w:t>
            </w:r>
            <w:r>
              <w:rPr>
                <w:rFonts w:eastAsiaTheme="minorHAnsi" w:cstheme="minorBidi"/>
                <w:sz w:val="24"/>
                <w:szCs w:val="24"/>
                <w:lang w:val="en-US"/>
              </w:rPr>
              <w:t xml:space="preserve"> d=</w:t>
            </w:r>
            <w:r>
              <w:rPr>
                <w:rFonts w:eastAsiaTheme="minorHAnsi" w:cstheme="minorBidi"/>
                <w:sz w:val="24"/>
                <w:szCs w:val="24"/>
              </w:rPr>
              <w:t>40,50,57,90</w:t>
            </w:r>
          </w:p>
        </w:tc>
        <w:tc>
          <w:tcPr>
            <w:tcW w:w="901" w:type="dxa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1970</w:t>
            </w:r>
          </w:p>
        </w:tc>
      </w:tr>
      <w:tr w:rsidR="000645F5">
        <w:trPr>
          <w:trHeight w:val="709"/>
        </w:trPr>
        <w:tc>
          <w:tcPr>
            <w:tcW w:w="1664" w:type="dxa"/>
            <w:vMerge/>
            <w:shd w:val="clear" w:color="auto" w:fill="auto"/>
          </w:tcPr>
          <w:p w:rsidR="000645F5" w:rsidRDefault="000645F5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2012</w:t>
            </w:r>
          </w:p>
        </w:tc>
        <w:tc>
          <w:tcPr>
            <w:tcW w:w="1844" w:type="dxa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трубы</w:t>
            </w:r>
          </w:p>
        </w:tc>
        <w:tc>
          <w:tcPr>
            <w:tcW w:w="1035" w:type="dxa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2012м</w:t>
            </w:r>
          </w:p>
        </w:tc>
        <w:tc>
          <w:tcPr>
            <w:tcW w:w="1935" w:type="dxa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Полиэтилен, сталь,</w:t>
            </w:r>
            <w:r>
              <w:rPr>
                <w:rFonts w:eastAsiaTheme="minorHAnsi" w:cstheme="minorBidi"/>
                <w:sz w:val="24"/>
                <w:szCs w:val="24"/>
                <w:lang w:val="en-US"/>
              </w:rPr>
              <w:t xml:space="preserve"> d=</w:t>
            </w:r>
            <w:r>
              <w:rPr>
                <w:rFonts w:eastAsiaTheme="minorHAnsi" w:cstheme="minorBidi"/>
                <w:sz w:val="24"/>
                <w:szCs w:val="24"/>
              </w:rPr>
              <w:t>40,50,57,90</w:t>
            </w:r>
          </w:p>
        </w:tc>
        <w:tc>
          <w:tcPr>
            <w:tcW w:w="901" w:type="dxa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2010</w:t>
            </w:r>
          </w:p>
        </w:tc>
      </w:tr>
      <w:tr w:rsidR="000645F5">
        <w:trPr>
          <w:trHeight w:val="709"/>
        </w:trPr>
        <w:tc>
          <w:tcPr>
            <w:tcW w:w="1664" w:type="dxa"/>
            <w:shd w:val="clear" w:color="auto" w:fill="auto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Итого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645F5" w:rsidRDefault="00C70C29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4705</w:t>
            </w:r>
          </w:p>
        </w:tc>
        <w:tc>
          <w:tcPr>
            <w:tcW w:w="1844" w:type="dxa"/>
            <w:shd w:val="clear" w:color="auto" w:fill="auto"/>
          </w:tcPr>
          <w:p w:rsidR="000645F5" w:rsidRDefault="000645F5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0645F5" w:rsidRDefault="000645F5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0645F5" w:rsidRDefault="000645F5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0645F5" w:rsidRDefault="000645F5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</w:p>
        </w:tc>
      </w:tr>
    </w:tbl>
    <w:p w:rsidR="000645F5" w:rsidRDefault="000645F5">
      <w:pPr>
        <w:jc w:val="both"/>
        <w:rPr>
          <w:b/>
          <w:sz w:val="24"/>
          <w:szCs w:val="24"/>
        </w:rPr>
      </w:pP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Подача воды питьевого качества предусматривается населению и учреждениям соцкультбыта на хозяйственно-питьевые нужды и полив, на пожаротушение.</w:t>
      </w:r>
    </w:p>
    <w:p w:rsidR="000645F5" w:rsidRDefault="00C70C29">
      <w:pPr>
        <w:pStyle w:val="formattext"/>
        <w:shd w:val="clear" w:color="auto" w:fill="FFFFFF"/>
        <w:suppressAutoHyphens/>
        <w:spacing w:beforeAutospacing="0" w:afterAutospacing="0"/>
        <w:ind w:firstLine="567"/>
        <w:jc w:val="both"/>
        <w:textAlignment w:val="baseline"/>
      </w:pPr>
      <w:r>
        <w:rPr>
          <w:bCs/>
          <w:iCs/>
          <w:color w:val="2D2D2D"/>
          <w:spacing w:val="2"/>
        </w:rPr>
        <w:t>Схема систем водоснабжения представлена на рис.4</w:t>
      </w:r>
    </w:p>
    <w:p w:rsidR="000645F5" w:rsidRDefault="00C70C29">
      <w:pPr>
        <w:pStyle w:val="formattext"/>
        <w:shd w:val="clear" w:color="auto" w:fill="FFFFFF"/>
        <w:suppressAutoHyphens/>
        <w:spacing w:beforeAutospacing="0" w:afterAutospacing="0"/>
        <w:ind w:firstLine="567"/>
        <w:jc w:val="both"/>
        <w:textAlignment w:val="baseline"/>
      </w:pPr>
      <w:r>
        <w:rPr>
          <w:b/>
          <w:bCs/>
          <w:iCs/>
          <w:color w:val="2D2D2D"/>
          <w:spacing w:val="2"/>
        </w:rPr>
        <w:t>1.2. Описание территорий поселения, не охваченных централизованными системами водоснабжения.</w:t>
      </w: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Сельские населенные пункты: </w:t>
      </w:r>
      <w:r>
        <w:rPr>
          <w:color w:val="000000"/>
          <w:sz w:val="24"/>
          <w:szCs w:val="24"/>
          <w:shd w:val="clear" w:color="auto" w:fill="FFFFFF"/>
        </w:rPr>
        <w:t>д.Преображенка, д.Зинки, д.Красновка, д.1-е Гусево, д.Козлянур</w:t>
      </w:r>
      <w:r>
        <w:rPr>
          <w:color w:val="2D2D2D"/>
          <w:spacing w:val="2"/>
          <w:sz w:val="24"/>
          <w:szCs w:val="24"/>
        </w:rPr>
        <w:t>, д.Ивановка, д.Кудрявка, д.Рогожники, входящие в территорию Кушнурского сельсовета, не имеют централизованной системы водоснабжения.</w:t>
      </w:r>
      <w:r>
        <w:rPr>
          <w:color w:val="2D2D2D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Население </w:t>
      </w:r>
      <w:r>
        <w:rPr>
          <w:sz w:val="24"/>
          <w:szCs w:val="24"/>
        </w:rPr>
        <w:t xml:space="preserve">данных населенных пунктов пользуется водой в хозяйственных целях из собственных колодцев от 20-30 м. глубиной. </w:t>
      </w:r>
    </w:p>
    <w:p w:rsidR="000645F5" w:rsidRDefault="000645F5">
      <w:pPr>
        <w:pStyle w:val="formattext"/>
        <w:shd w:val="clear" w:color="auto" w:fill="FFFFFF"/>
        <w:suppressAutoHyphens/>
        <w:spacing w:beforeAutospacing="0" w:afterAutospacing="0"/>
        <w:ind w:firstLine="567"/>
        <w:jc w:val="both"/>
        <w:textAlignment w:val="baseline"/>
      </w:pP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b/>
          <w:bCs/>
          <w:iCs/>
          <w:color w:val="2D2D2D"/>
          <w:spacing w:val="2"/>
          <w:sz w:val="24"/>
          <w:szCs w:val="24"/>
          <w:shd w:val="clear" w:color="auto" w:fill="FFFFFF"/>
        </w:rPr>
        <w:t>1.3.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объекты систем водоснабжения является собственностью Шарангского муниципального района и в целях наиболее эффективного использования </w:t>
      </w:r>
      <w:r>
        <w:rPr>
          <w:sz w:val="24"/>
          <w:szCs w:val="24"/>
        </w:rPr>
        <w:lastRenderedPageBreak/>
        <w:t xml:space="preserve">муниципального имущества переданы </w:t>
      </w:r>
      <w:r>
        <w:rPr>
          <w:color w:val="000000"/>
          <w:sz w:val="24"/>
          <w:szCs w:val="24"/>
        </w:rPr>
        <w:t>на праве хозяйственное ведение в МУП Шарангского муниципального района «Коммунсервис».</w:t>
      </w: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Данная организация оказывает услуги по водоснабжению, в том числе:</w:t>
      </w: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-добыча пресных подземных вод для хозяйственно-питьевого водоснабжения;</w:t>
      </w: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-обслуживание водопроводных сетей;</w:t>
      </w: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-установка приборов учета (водомеров), их опломбировка.</w:t>
      </w:r>
    </w:p>
    <w:p w:rsidR="000645F5" w:rsidRDefault="000645F5">
      <w:pPr>
        <w:ind w:firstLine="567"/>
        <w:jc w:val="both"/>
        <w:rPr>
          <w:sz w:val="24"/>
          <w:szCs w:val="24"/>
        </w:rPr>
      </w:pP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Взаимоотношения предприятия с потребителями услуг осуществляются на договорной основе. Качество предоставляемых услуг соответствует требованиям, определенным действующим законодательством. </w:t>
      </w: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Качество воды соответствует требованиям СанПин 2.1.4.1074-01.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0645F5" w:rsidRDefault="000645F5">
      <w:pPr>
        <w:ind w:firstLine="567"/>
        <w:jc w:val="both"/>
        <w:rPr>
          <w:sz w:val="24"/>
          <w:szCs w:val="24"/>
        </w:rPr>
      </w:pPr>
    </w:p>
    <w:p w:rsidR="000645F5" w:rsidRDefault="00C70C29">
      <w:pPr>
        <w:pStyle w:val="ae"/>
        <w:spacing w:after="0" w:line="240" w:lineRule="auto"/>
        <w:ind w:left="0" w:firstLine="567"/>
        <w:jc w:val="center"/>
      </w:pPr>
      <w:r>
        <w:rPr>
          <w:rStyle w:val="3"/>
          <w:rFonts w:ascii="Times New Roman" w:eastAsiaTheme="minorEastAsia" w:hAnsi="Times New Roman"/>
          <w:color w:val="000000" w:themeColor="text1"/>
          <w:szCs w:val="24"/>
        </w:rPr>
        <w:t>Раздел 2. Направления развития централизованных систем водоснабжения.</w:t>
      </w:r>
    </w:p>
    <w:p w:rsidR="000645F5" w:rsidRDefault="00C70C2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развития системы водоснабжения являются:</w:t>
      </w:r>
    </w:p>
    <w:p w:rsidR="000645F5" w:rsidRDefault="00C70C2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эксплуатационной надежности и безопасности систем водоснабжения как части коммунальных систем жизнеобеспечения населения;</w:t>
      </w:r>
    </w:p>
    <w:p w:rsidR="000645F5" w:rsidRDefault="00C70C2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финансовой и производственно-технологической доступности услуг водоснабжения надлежащего качества для населения и других потребителей;</w:t>
      </w:r>
    </w:p>
    <w:p w:rsidR="000645F5" w:rsidRDefault="00C70C2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рационального использования воды, как природной, так и питьевого качества, выполнение природоохранных требований;</w:t>
      </w:r>
    </w:p>
    <w:p w:rsidR="000645F5" w:rsidRDefault="00C70C2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подачи абонентам определенного объема питьевой воды установленного качества.</w:t>
      </w:r>
    </w:p>
    <w:p w:rsidR="000645F5" w:rsidRDefault="00C70C2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Предложения по строительству, реконструкции и модернизации объектов централизованных систем водоснабжения.</w:t>
      </w:r>
    </w:p>
    <w:p w:rsidR="000645F5" w:rsidRDefault="00C70C2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сельсовета имеются проблемные вопросы в сфере водоснабжения:</w:t>
      </w: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1.Централизованным водоснабжением не охвачена большая часть территории Кушнурского сельсовета.</w:t>
      </w:r>
    </w:p>
    <w:p w:rsidR="000645F5" w:rsidRDefault="00C70C29">
      <w:pPr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2.Отсутствие в ряде деревень источников водоснабжения и магистральных водопроводов замедляет развитие сельского поселения в целом.</w:t>
      </w:r>
    </w:p>
    <w:p w:rsidR="000645F5" w:rsidRDefault="00C70C29">
      <w:pPr>
        <w:pStyle w:val="af0"/>
        <w:suppressAutoHyphens/>
        <w:spacing w:beforeAutospacing="0" w:afterAutospacing="0"/>
        <w:ind w:firstLine="567"/>
        <w:jc w:val="both"/>
      </w:pPr>
      <w:r>
        <w:t>Роста численности в сельском поселении нет, вследствие этого нет перспектив строительства жилого фонда и социальной инфраструктуры. Строительство централизованных систем водоснабжения в населенных пунктах в ближайшей перспективе не планируется. Водоснабжение населенных пунктов (кроме с. Кушнур) Кушнурского сельсовета на расчетный срок предусматривает использование колодцев</w:t>
      </w:r>
      <w:r>
        <w:rPr>
          <w:b/>
        </w:rPr>
        <w:t xml:space="preserve">. </w:t>
      </w:r>
    </w:p>
    <w:p w:rsidR="000645F5" w:rsidRDefault="00C70C29">
      <w:pPr>
        <w:pStyle w:val="af0"/>
        <w:suppressAutoHyphens/>
        <w:spacing w:beforeAutospacing="0" w:afterAutospacing="0"/>
        <w:ind w:firstLine="567"/>
        <w:jc w:val="both"/>
      </w:pPr>
      <w:r>
        <w:t xml:space="preserve">Часть водопровода построена в 2010 году, но некоторые участки водопроводной сети требуют капитального ремонта. На водопроводной сети часто возникают прорывы, что сопровождается утечкой воды, население остается без водоснабжения. </w:t>
      </w:r>
    </w:p>
    <w:p w:rsidR="000645F5" w:rsidRDefault="00C70C29">
      <w:pPr>
        <w:tabs>
          <w:tab w:val="left" w:pos="1545"/>
        </w:tabs>
        <w:ind w:firstLine="567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Раздел 4. Экологические аспекты мероприятий по строительству, реконструкции и модернизации объектов централизованных систем водоснабжения </w:t>
      </w:r>
    </w:p>
    <w:p w:rsidR="000645F5" w:rsidRDefault="00C70C29">
      <w:pPr>
        <w:tabs>
          <w:tab w:val="left" w:pos="1545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промывных вод </w:t>
      </w:r>
    </w:p>
    <w:p w:rsidR="000645F5" w:rsidRDefault="00C70C29">
      <w:pPr>
        <w:tabs>
          <w:tab w:val="left" w:pos="154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в системах централизованного водоснабжения Кушнурского сельсовета отсутствуют очистные сооружения, а также не планируется их строительство, сброса или утилизации промывных вод из системы водоподготовки не производится. </w:t>
      </w:r>
    </w:p>
    <w:p w:rsidR="000645F5" w:rsidRDefault="00C70C29">
      <w:pPr>
        <w:tabs>
          <w:tab w:val="left" w:pos="1545"/>
        </w:tabs>
        <w:ind w:firstLine="567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4.2 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водоподготовке.</w:t>
      </w:r>
    </w:p>
    <w:p w:rsidR="000645F5" w:rsidRDefault="00C70C29">
      <w:pPr>
        <w:tabs>
          <w:tab w:val="left" w:pos="1545"/>
        </w:tabs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В связи с тем, что в системах централизованного водоснабжения Кушнурского сельсовета отсутствуют очистные сооружения, а также не планируется их строительство, мероприятия по снабжению и хранению химических реагентов, используемых в водоподготовке (хлор и др.) не осуществляются.</w:t>
      </w:r>
    </w:p>
    <w:p w:rsidR="000645F5" w:rsidRDefault="00C70C29">
      <w:pPr>
        <w:pStyle w:val="Heading1"/>
        <w:numPr>
          <w:ilvl w:val="0"/>
          <w:numId w:val="2"/>
        </w:numPr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Раздел 5. Перечень выявленных бесхозяйных объектов централизованных систем водоснабжения.</w:t>
      </w:r>
    </w:p>
    <w:p w:rsidR="000645F5" w:rsidRDefault="00C70C29">
      <w:pPr>
        <w:pStyle w:val="Heading1"/>
        <w:numPr>
          <w:ilvl w:val="0"/>
          <w:numId w:val="2"/>
        </w:numPr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На территории Кушнурского сельсовета бесхозяйных объектов централизованной системы водоснабжения не выявлено.</w:t>
      </w:r>
    </w:p>
    <w:p w:rsidR="000645F5" w:rsidRDefault="00C70C29">
      <w:pPr>
        <w:pStyle w:val="Heading1"/>
        <w:numPr>
          <w:ilvl w:val="0"/>
          <w:numId w:val="2"/>
        </w:numPr>
        <w:spacing w:before="0" w:line="240" w:lineRule="auto"/>
        <w:ind w:firstLine="567"/>
        <w:rPr>
          <w:sz w:val="24"/>
          <w:szCs w:val="24"/>
        </w:rPr>
      </w:pPr>
      <w:r>
        <w:rPr>
          <w:color w:val="auto"/>
          <w:sz w:val="24"/>
          <w:szCs w:val="24"/>
        </w:rPr>
        <w:t>Глава 2. Схема водоотведения</w:t>
      </w:r>
    </w:p>
    <w:p w:rsidR="000645F5" w:rsidRDefault="00C70C29">
      <w:pPr>
        <w:pStyle w:val="Heading2"/>
        <w:numPr>
          <w:ilvl w:val="1"/>
          <w:numId w:val="2"/>
        </w:num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Раздел 1. Существующее положение в сфере водоотведения муниципального образования</w:t>
      </w:r>
    </w:p>
    <w:p w:rsidR="000645F5" w:rsidRDefault="00C70C29">
      <w:pPr>
        <w:tabs>
          <w:tab w:val="left" w:pos="51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всех населенных пунктах Кушнурского сельсовета Шарангского муниципального района централизованная система водоотведения отсутствует. Существующая система водоотведения сельсовета в основном представлена индивидуальными выгребными ямами. </w:t>
      </w:r>
    </w:p>
    <w:p w:rsidR="00886743" w:rsidRDefault="00C70C29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  <w:r>
        <w:rPr>
          <w:sz w:val="24"/>
          <w:szCs w:val="24"/>
        </w:rPr>
        <w:t>Хозяйственно 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 Строительство централизованной канализации в ближайшей перспективе не</w:t>
      </w:r>
      <w:r w:rsidR="00886743" w:rsidRPr="00886743">
        <w:rPr>
          <w:sz w:val="24"/>
          <w:szCs w:val="24"/>
        </w:rPr>
        <w:t xml:space="preserve"> </w:t>
      </w:r>
      <w:r w:rsidR="00886743">
        <w:rPr>
          <w:sz w:val="24"/>
          <w:szCs w:val="24"/>
        </w:rPr>
        <w:t>планируется</w:t>
      </w:r>
      <w:r w:rsidR="00886743">
        <w:rPr>
          <w:rFonts w:cs="Arial"/>
          <w:sz w:val="24"/>
          <w:szCs w:val="24"/>
        </w:rPr>
        <w:t>.</w:t>
      </w: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886743" w:rsidRDefault="00886743" w:rsidP="00C70C29">
      <w:pPr>
        <w:tabs>
          <w:tab w:val="left" w:pos="2040"/>
        </w:tabs>
        <w:jc w:val="right"/>
        <w:rPr>
          <w:rFonts w:cs="Arial"/>
          <w:sz w:val="24"/>
          <w:szCs w:val="24"/>
        </w:rPr>
      </w:pPr>
    </w:p>
    <w:p w:rsidR="00C70C29" w:rsidRDefault="00C70C29" w:rsidP="00C70C29">
      <w:pPr>
        <w:tabs>
          <w:tab w:val="left" w:pos="2040"/>
        </w:tabs>
        <w:jc w:val="right"/>
        <w:rPr>
          <w:sz w:val="24"/>
          <w:szCs w:val="24"/>
        </w:rPr>
      </w:pPr>
      <w:r w:rsidRPr="00C70C29">
        <w:rPr>
          <w:sz w:val="24"/>
          <w:szCs w:val="24"/>
        </w:rPr>
        <w:t xml:space="preserve"> </w:t>
      </w:r>
      <w:r>
        <w:rPr>
          <w:sz w:val="24"/>
          <w:szCs w:val="24"/>
        </w:rPr>
        <w:t>Рис.2</w:t>
      </w:r>
    </w:p>
    <w:p w:rsidR="000645F5" w:rsidRDefault="00C70C29" w:rsidP="00C70C29">
      <w:pPr>
        <w:tabs>
          <w:tab w:val="left" w:pos="510"/>
        </w:tabs>
        <w:ind w:firstLine="567"/>
        <w:jc w:val="both"/>
        <w:rPr>
          <w:sz w:val="24"/>
          <w:szCs w:val="24"/>
        </w:rPr>
      </w:pPr>
      <w:r>
        <w:object w:dxaOrig="8674" w:dyaOrig="11225">
          <v:shape id="ole_rId6" o:spid="_x0000_i1025" style="width:450pt;height:584.2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AcroExch.Document.11" ShapeID="ole_rId6" DrawAspect="Content" ObjectID="_1684070763" r:id="rId8"/>
        </w:object>
      </w:r>
      <w:r>
        <w:rPr>
          <w:sz w:val="24"/>
          <w:szCs w:val="24"/>
        </w:rPr>
        <w:t xml:space="preserve"> </w:t>
      </w:r>
    </w:p>
    <w:p w:rsidR="000645F5" w:rsidRDefault="00C70C29" w:rsidP="00C70C29">
      <w:pPr>
        <w:tabs>
          <w:tab w:val="left" w:pos="3705"/>
        </w:tabs>
        <w:ind w:firstLine="567"/>
        <w:rPr>
          <w:b/>
        </w:rPr>
      </w:pPr>
      <w:r>
        <w:rPr>
          <w:b/>
        </w:rPr>
        <w:tab/>
      </w:r>
    </w:p>
    <w:p w:rsidR="00886743" w:rsidRDefault="00886743">
      <w:pPr>
        <w:ind w:firstLine="567"/>
        <w:jc w:val="center"/>
        <w:rPr>
          <w:b/>
          <w:sz w:val="24"/>
          <w:szCs w:val="24"/>
        </w:rPr>
      </w:pPr>
    </w:p>
    <w:p w:rsidR="00886743" w:rsidRDefault="00886743">
      <w:pPr>
        <w:ind w:firstLine="567"/>
        <w:jc w:val="center"/>
        <w:rPr>
          <w:b/>
          <w:sz w:val="24"/>
          <w:szCs w:val="24"/>
        </w:rPr>
      </w:pPr>
    </w:p>
    <w:p w:rsidR="00886743" w:rsidRDefault="00886743">
      <w:pPr>
        <w:ind w:firstLine="567"/>
        <w:jc w:val="center"/>
        <w:rPr>
          <w:b/>
          <w:sz w:val="24"/>
          <w:szCs w:val="24"/>
        </w:rPr>
      </w:pPr>
    </w:p>
    <w:p w:rsidR="00886743" w:rsidRDefault="00886743">
      <w:pPr>
        <w:ind w:firstLine="567"/>
        <w:jc w:val="center"/>
        <w:rPr>
          <w:b/>
          <w:sz w:val="24"/>
          <w:szCs w:val="24"/>
        </w:rPr>
      </w:pPr>
    </w:p>
    <w:p w:rsidR="00886743" w:rsidRDefault="00886743">
      <w:pPr>
        <w:ind w:firstLine="567"/>
        <w:jc w:val="center"/>
        <w:rPr>
          <w:b/>
          <w:sz w:val="24"/>
          <w:szCs w:val="24"/>
        </w:rPr>
      </w:pPr>
    </w:p>
    <w:p w:rsidR="00886743" w:rsidRDefault="00886743">
      <w:pPr>
        <w:ind w:firstLine="567"/>
        <w:jc w:val="center"/>
        <w:rPr>
          <w:b/>
          <w:sz w:val="24"/>
          <w:szCs w:val="24"/>
        </w:rPr>
      </w:pPr>
    </w:p>
    <w:p w:rsidR="00886743" w:rsidRDefault="00886743">
      <w:pPr>
        <w:ind w:firstLine="567"/>
        <w:jc w:val="center"/>
        <w:rPr>
          <w:b/>
          <w:sz w:val="24"/>
          <w:szCs w:val="24"/>
        </w:rPr>
      </w:pPr>
    </w:p>
    <w:p w:rsidR="00886743" w:rsidRDefault="00886743">
      <w:pPr>
        <w:ind w:firstLine="567"/>
        <w:jc w:val="center"/>
        <w:rPr>
          <w:b/>
          <w:sz w:val="24"/>
          <w:szCs w:val="24"/>
        </w:rPr>
      </w:pPr>
    </w:p>
    <w:p w:rsidR="000645F5" w:rsidRDefault="0060713F" w:rsidP="0060713F">
      <w:pPr>
        <w:tabs>
          <w:tab w:val="left" w:pos="2040"/>
          <w:tab w:val="left" w:pos="4020"/>
          <w:tab w:val="right" w:pos="9638"/>
        </w:tabs>
        <w:rPr>
          <w:sz w:val="24"/>
          <w:szCs w:val="24"/>
        </w:rPr>
      </w:pPr>
      <w:r>
        <w:tab/>
      </w:r>
      <w:r>
        <w:tab/>
      </w:r>
      <w:r w:rsidR="00C70C29">
        <w:br w:type="page"/>
      </w:r>
    </w:p>
    <w:p w:rsidR="000645F5" w:rsidRDefault="00C70C29">
      <w:pPr>
        <w:jc w:val="right"/>
        <w:rPr>
          <w:sz w:val="24"/>
          <w:szCs w:val="24"/>
        </w:rPr>
      </w:pPr>
      <w:r>
        <w:lastRenderedPageBreak/>
        <w:br w:type="page"/>
      </w:r>
    </w:p>
    <w:p w:rsidR="000645F5" w:rsidRDefault="000645F5">
      <w:pPr>
        <w:tabs>
          <w:tab w:val="left" w:pos="2040"/>
        </w:tabs>
        <w:jc w:val="center"/>
      </w:pPr>
    </w:p>
    <w:sectPr w:rsidR="000645F5" w:rsidSect="000645F5">
      <w:headerReference w:type="default" r:id="rId9"/>
      <w:pgSz w:w="11906" w:h="16838"/>
      <w:pgMar w:top="987" w:right="850" w:bottom="1118" w:left="1418" w:header="93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3C" w:rsidRDefault="007E2D3C" w:rsidP="000645F5">
      <w:r>
        <w:separator/>
      </w:r>
    </w:p>
  </w:endnote>
  <w:endnote w:type="continuationSeparator" w:id="1">
    <w:p w:rsidR="007E2D3C" w:rsidRDefault="007E2D3C" w:rsidP="0006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3C" w:rsidRDefault="007E2D3C" w:rsidP="000645F5">
      <w:r>
        <w:separator/>
      </w:r>
    </w:p>
  </w:footnote>
  <w:footnote w:type="continuationSeparator" w:id="1">
    <w:p w:rsidR="007E2D3C" w:rsidRDefault="007E2D3C" w:rsidP="00064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29" w:rsidRDefault="0042058D">
    <w:pPr>
      <w:pStyle w:val="Header"/>
      <w:jc w:val="center"/>
    </w:pPr>
    <w:fldSimple w:instr="PAGE">
      <w:r w:rsidR="0060713F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452"/>
    <w:multiLevelType w:val="multilevel"/>
    <w:tmpl w:val="A686DBF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48E2DBD"/>
    <w:multiLevelType w:val="multilevel"/>
    <w:tmpl w:val="B6C2D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EE32388"/>
    <w:multiLevelType w:val="multilevel"/>
    <w:tmpl w:val="9E74632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23E53842"/>
    <w:multiLevelType w:val="multilevel"/>
    <w:tmpl w:val="FEFE20FE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29304C8B"/>
    <w:multiLevelType w:val="multilevel"/>
    <w:tmpl w:val="7FEE511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5">
    <w:nsid w:val="30445B7B"/>
    <w:multiLevelType w:val="multilevel"/>
    <w:tmpl w:val="CF66337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BDA4FB4"/>
    <w:multiLevelType w:val="multilevel"/>
    <w:tmpl w:val="06C4E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5F5"/>
    <w:rsid w:val="000645F5"/>
    <w:rsid w:val="0042058D"/>
    <w:rsid w:val="004B6021"/>
    <w:rsid w:val="0060713F"/>
    <w:rsid w:val="007E2D3C"/>
    <w:rsid w:val="00886743"/>
    <w:rsid w:val="00C7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character" w:customStyle="1" w:styleId="3">
    <w:name w:val="Заголовок 3 Знак"/>
    <w:basedOn w:val="a0"/>
    <w:qFormat/>
    <w:rsid w:val="000645F5"/>
    <w:rPr>
      <w:rFonts w:ascii="Cambria" w:eastAsia="Times New Roman" w:hAnsi="Cambria" w:cs="Times New Roman"/>
      <w:b/>
      <w:bCs/>
      <w:color w:val="4F81BD"/>
      <w:sz w:val="24"/>
      <w:szCs w:val="22"/>
      <w:lang w:eastAsia="ru-RU" w:bidi="ar-SA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0645F5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1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paragraph" w:styleId="af0">
    <w:name w:val="Normal (Web)"/>
    <w:basedOn w:val="a"/>
    <w:qFormat/>
    <w:rsid w:val="000645F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1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C70C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70C29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styleId="af4">
    <w:name w:val="footer"/>
    <w:basedOn w:val="a"/>
    <w:link w:val="af5"/>
    <w:uiPriority w:val="99"/>
    <w:semiHidden/>
    <w:unhideWhenUsed/>
    <w:rsid w:val="00C70C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70C29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Глава</cp:lastModifiedBy>
  <cp:revision>81</cp:revision>
  <cp:lastPrinted>2019-11-28T16:32:00Z</cp:lastPrinted>
  <dcterms:created xsi:type="dcterms:W3CDTF">2017-01-10T09:37:00Z</dcterms:created>
  <dcterms:modified xsi:type="dcterms:W3CDTF">2021-06-01T13:40:00Z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