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17.06.2020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исполнении бюджета поселения за 1 квартал 2020 год </w:t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Уставом рабочего поселка Шаранга Шарангского муниципального района Нижегородской области, поселковый Совет </w:t>
      </w:r>
      <w:r>
        <w:rPr>
          <w:rFonts w:cs="Arial" w:ascii="Arial" w:hAnsi="Arial"/>
          <w:b/>
          <w:sz w:val="24"/>
          <w:szCs w:val="24"/>
        </w:rPr>
        <w:t>р е ш и л: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1.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Утвердить отчет об исполнении бюджета рабочего поселка Шаранга за 1 квартал 2020 года по доходам в сумме 6764,8 тыс.рублей, по расходам в сумме </w:t>
      </w:r>
      <w:r>
        <w:rPr>
          <w:rFonts w:cs="Arial" w:ascii="Arial" w:hAnsi="Arial"/>
          <w:color w:val="000000"/>
          <w:sz w:val="24"/>
          <w:szCs w:val="24"/>
        </w:rPr>
        <w:t xml:space="preserve">6437,1 </w:t>
      </w:r>
      <w:r>
        <w:rPr>
          <w:rFonts w:cs="Arial" w:ascii="Arial" w:hAnsi="Arial"/>
          <w:sz w:val="24"/>
          <w:szCs w:val="24"/>
        </w:rPr>
        <w:t xml:space="preserve">тыс.рублей, </w:t>
      </w:r>
      <w:r>
        <w:rPr>
          <w:rFonts w:cs="Arial" w:ascii="Arial" w:hAnsi="Arial"/>
          <w:color w:val="000000"/>
          <w:sz w:val="24"/>
          <w:szCs w:val="24"/>
        </w:rPr>
        <w:t>с превышением расходов над доходами (дефицит бюджета поселения) в сумме 327,7 тыс</w:t>
      </w:r>
      <w:r>
        <w:rPr>
          <w:rFonts w:cs="Arial" w:ascii="Arial" w:hAnsi="Arial"/>
          <w:sz w:val="24"/>
          <w:szCs w:val="24"/>
        </w:rPr>
        <w:t>.рублей и со следующими показателями: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1) доходов бюджета поселения по кодам классификации доходов бюджета поселения за 1 квартал 2020 года согласно приложению 1;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2) расходов бюджета поселения по ведомственной структуре расходов бюджета поселения за 1 квартал 2020 года согласно приложению 2;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3) расходов бюджета поселения по разделам и подразделам классификации расходов бюджета поселения, по целевым статьям (муниципальным программам и непрограммным направлениям деятельности) и группам видов расходов за 1 квартал 2020 года согласно приложению 3;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4) источников финансирования дефицита бюджета поселения за 1 квартал 2020 года согласно приложению 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Обнародовать настоящее решение в порядке, установленном Уставом рабочего поселка Шаранга Шарангского муниципального района Нижегородской области.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М.В.Михеева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№1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jc w:val="right"/>
        <w:rPr/>
      </w:pPr>
      <w:r>
        <w:rPr/>
        <w:t xml:space="preserve">«Об исполнении бюджета  поселения </w:t>
      </w:r>
    </w:p>
    <w:p>
      <w:pPr>
        <w:pStyle w:val="ConsPlusNormal1"/>
        <w:bidi w:val="0"/>
        <w:jc w:val="right"/>
        <w:rPr/>
      </w:pPr>
      <w:r>
        <w:rPr/>
        <w:t>за 1 квартал 2020 год»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/>
        <w:t>от 17.06.2020 №18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Доходы бюджета поселения по кодам классификации доходов бюджета поселения за 1 квартал 2020 год</w:t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28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6878"/>
        <w:gridCol w:w="2127"/>
        <w:gridCol w:w="2126"/>
        <w:gridCol w:w="1853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pacing w:before="4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План на</w:t>
            </w:r>
          </w:p>
          <w:p>
            <w:pPr>
              <w:pStyle w:val="1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2020год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spacing w:before="4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Исполнено</w:t>
            </w:r>
          </w:p>
          <w:p>
            <w:pPr>
              <w:pStyle w:val="1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За1квартал2020года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4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% </w:t>
            </w:r>
          </w:p>
          <w:p>
            <w:pPr>
              <w:pStyle w:val="1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исполнения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10000000000000000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 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17515,4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3334,8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19,0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1.1. Налоги на прибыль,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7982,1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1702,0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21,3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10102000010000110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 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7982,1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1702,0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21,3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10102010010000110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Федерации(сумма платежа(перерасчеты ,недоимка и задолженность по соответствующему платежу ,в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7875,8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1695,1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21,5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10102010012100110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1.1.1.2.Налог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10102010013000110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1.1.1.3.Налог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 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-10,8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10102010014000110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1.1.1.4.Налог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Федерации( прочие поступления)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-7,0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10102020011000110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1.1.1.5.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61,5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3,1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10102030011000110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1.1.1.6. 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44,8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17,9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40,0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10102030013000110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1.1.1.7. Налог на доходы физических лиц с доходов, полученных физическими лицами в соответствии со статьей 228 Налогового кодекса Российской Федерации(суммы денежных взысканий(штрафов) соответствующему платежу согласно законодательству Российской Федерации)</w:t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0,4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10300000000000000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2637,4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531,9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20,2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10302000010000110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2637,4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531,9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20,2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10302231010000110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1198,7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241,4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20,1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10302241010000110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1,6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17,8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10302251010000110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1610,4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338,8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21,0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10302261010000110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-180,7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-49,9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27,6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10500000000000000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1.3. Налоги на совокупный доход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362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10503010011000110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1.3.1. 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88,7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362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10503010012100110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1.3.2.Единый сельскохозяйственный налог(пени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1.4. Налоги на имущество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5642,5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784,0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13,9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10601000000000110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1.4.1.Налог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2154,1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96,1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4,5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10601030131000110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 xml:space="preserve">1.4.1.1. Налог на имущество физических лиц, взимаемый по ставкам, применяемым к объектам налогообложения, расположенным в границах городских поселений(сумма платежа(перерасчеты, недоимка и задолженность по соответствующему платежу ,в том числе по отмененному)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2154,1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94,8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4,4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10601030132100110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1.4.1.2. Налог на имущество физических лиц, взимаемый по ставкам, применяемым к объектам налогообложения, расположенным в границах городских поселений(пени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10606000000000110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 Земельный налог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3488,4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687,9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19,7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10606030000000110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1.4.2.1. 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2026,5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631,8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31,2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10606033131000110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1.4.2.1.1. Земельный налог с организаций, обладающих земельным участком, расположенным в границах городских поселений(пени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2026,5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630,1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31,1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10601030132100110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1.4.2.1.2. Земельный налог с организаций, обладающих земельным участком, расположенным в границах городских поселений(сумма платежа(перерасчеты ,недоимка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10606040000000110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1.4.2.2.  Земельный налог  с физических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1461,9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56,1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3,8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10606043131000110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1.4.2.2.1. Земельный налог с физических лиц, обладающих земельным участком, расположенным в границах городских поселений(сумма платежа(перерасчеты,недоимка и задолженность по соответствующему платежу,в том числе по отмененному)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1461,9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53,5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3,7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10606043132100110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1.4.2.2.2. Земельный налог с физических лиц, обладающих земельным участком, расположенным в границах городских поселений(пени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2,6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11100000000000000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833,9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199,8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24,0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11105013130000120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1.5.1.1.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833,9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199,8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24,0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11400000000000000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1.6. 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2,6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11406013130000430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1.6.1.1. 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5,3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2,6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11406025130000430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1.6.1.2. Доходы от продажи земельных участков, находящихся в собственности городских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11705000000000180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1.7. Прочие неналоговые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11,8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11705050130000180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1.7.1. 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195,0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23,1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11,8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26978,7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3430,0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12,7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26978,7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3430,0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12,7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>
                <w:b/>
              </w:rPr>
              <w:t>20210000000000150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3626,7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906,4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25,0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20215001130000150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2.1.1.1. 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3626,7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906,4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25,0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20230000000000150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295,8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25,0</w:t>
            </w:r>
          </w:p>
        </w:tc>
      </w:tr>
      <w:tr>
        <w:trPr>
          <w:trHeight w:val="99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20235118130000150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295,8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73,9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25,0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20240000000000150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2.1.3. 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23056,2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2449,7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10,6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20245160130000150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2.1.3.1Межбюджетные трансферты,передаваемые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1093,3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15,0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1,4</w:t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20245160130220150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2.1.3.2.Межбюджетные трансферты ,передаваемые бюджетам городских поселений для компенсации дополнительных расходов ,возникших в 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10000,0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>20249999130000150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/>
            </w:pPr>
            <w:r>
              <w:rPr/>
              <w:t xml:space="preserve">2.1.3.3. Прочие межбюджетные трансферты, передаваемые бюджетам городских поселений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11962,9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center"/>
              <w:rPr/>
            </w:pPr>
            <w:r>
              <w:rPr/>
              <w:t>2434,7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/>
            </w:pPr>
            <w:r>
              <w:rPr/>
              <w:t>20,4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44494,1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6764,8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442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15,2</w:t>
            </w:r>
          </w:p>
        </w:tc>
      </w:tr>
    </w:tbl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№2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jc w:val="right"/>
        <w:rPr/>
      </w:pPr>
      <w:r>
        <w:rPr/>
        <w:t xml:space="preserve">«Об исполнении бюджета  поселения </w:t>
      </w:r>
    </w:p>
    <w:p>
      <w:pPr>
        <w:pStyle w:val="ConsPlusNormal1"/>
        <w:bidi w:val="0"/>
        <w:jc w:val="right"/>
        <w:rPr/>
      </w:pPr>
      <w:r>
        <w:rPr/>
        <w:t>за 1 квартал 2020 год»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/>
        <w:t>от 17.06.2020 №18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Расходы бюджета поселения</w:t>
      </w:r>
    </w:p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ведомственной структуре расходов бюджета поселения за 1 квартал 2020 год</w:t>
      </w:r>
    </w:p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22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1"/>
        <w:gridCol w:w="48"/>
        <w:gridCol w:w="823"/>
        <w:gridCol w:w="49"/>
        <w:gridCol w:w="925"/>
        <w:gridCol w:w="1164"/>
        <w:gridCol w:w="323"/>
        <w:gridCol w:w="142"/>
        <w:gridCol w:w="286"/>
        <w:gridCol w:w="242"/>
        <w:gridCol w:w="464"/>
        <w:gridCol w:w="70"/>
        <w:gridCol w:w="144"/>
        <w:gridCol w:w="97"/>
        <w:gridCol w:w="642"/>
        <w:gridCol w:w="732"/>
        <w:gridCol w:w="808"/>
        <w:gridCol w:w="49"/>
        <w:gridCol w:w="66"/>
        <w:gridCol w:w="585"/>
        <w:gridCol w:w="49"/>
        <w:gridCol w:w="155"/>
        <w:gridCol w:w="700"/>
        <w:gridCol w:w="122"/>
        <w:gridCol w:w="1127"/>
        <w:gridCol w:w="608"/>
        <w:gridCol w:w="676"/>
        <w:gridCol w:w="32"/>
        <w:gridCol w:w="284"/>
        <w:gridCol w:w="850"/>
        <w:gridCol w:w="345"/>
        <w:gridCol w:w="49"/>
        <w:gridCol w:w="801"/>
        <w:gridCol w:w="54"/>
        <w:gridCol w:w="10"/>
        <w:gridCol w:w="841"/>
        <w:gridCol w:w="10"/>
      </w:tblGrid>
      <w:tr>
        <w:trPr>
          <w:trHeight w:val="255" w:hRule="atLeast"/>
        </w:trPr>
        <w:tc>
          <w:tcPr>
            <w:tcW w:w="897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82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7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157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417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444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70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565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13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249" w:type="dxa"/>
            <w:gridSpan w:val="4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119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План на 2020 год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 xml:space="preserve">Исполнено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7"/>
                <w:szCs w:val="17"/>
              </w:rPr>
              <w:t>За1квартал  2020 год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% исп.</w:t>
            </w:r>
          </w:p>
        </w:tc>
      </w:tr>
      <w:tr>
        <w:trPr>
          <w:trHeight w:val="52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Ведом-ство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62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95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  <w:tc>
          <w:tcPr>
            <w:tcW w:w="12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  <w:tc>
          <w:tcPr>
            <w:tcW w:w="8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</w:tr>
      <w:tr>
        <w:trPr>
          <w:trHeight w:val="215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2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11</w:t>
            </w:r>
          </w:p>
        </w:tc>
      </w:tr>
      <w:tr>
        <w:trPr>
          <w:trHeight w:val="467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1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АДМИНИСТРАЦИЯ РАБОЧЕГО ПОСЕЛКА ШАРАНГА  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44494,1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6437,1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14,5</w:t>
            </w:r>
          </w:p>
        </w:tc>
      </w:tr>
      <w:tr>
        <w:trPr>
          <w:trHeight w:val="521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0257" w:type="dxa"/>
            <w:gridSpan w:val="2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ОБЩЕГОСУДАРСТВЕННЫЕ ВОПРОСЫ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2830,0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628,8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22,2</w:t>
            </w:r>
          </w:p>
        </w:tc>
      </w:tr>
      <w:tr>
        <w:trPr>
          <w:trHeight w:val="415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/>
            </w:pPr>
            <w:r>
              <w:rPr>
                <w:rFonts w:cs="Arial" w:ascii="Arial" w:hAnsi="Arial"/>
                <w:b/>
                <w:bCs/>
              </w:rPr>
              <w:t>0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</w:p>
        </w:tc>
        <w:tc>
          <w:tcPr>
            <w:tcW w:w="9283" w:type="dxa"/>
            <w:gridSpan w:val="2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2565,2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544,9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21,2</w:t>
            </w:r>
          </w:p>
        </w:tc>
      </w:tr>
      <w:tr>
        <w:trPr>
          <w:trHeight w:val="421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</w:rPr>
              <w:t>0</w:t>
            </w:r>
            <w:r>
              <w:rPr>
                <w:rFonts w:cs="Arial" w:ascii="Arial Narrow" w:hAnsi="Arial Narrow"/>
                <w:lang w:val="en-US"/>
              </w:rPr>
              <w:t>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</w:rPr>
              <w:t>20401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1185,9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16,9</w:t>
            </w:r>
          </w:p>
        </w:tc>
      </w:tr>
      <w:tr>
        <w:trPr>
          <w:trHeight w:val="844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2</w:t>
            </w:r>
            <w:r>
              <w:rPr>
                <w:rFonts w:cs="Arial"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575,7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04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</w:rPr>
              <w:t>20800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803,6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21,4</w:t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  <w:lang w:val="en-US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  <w:lang w:val="en-US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8880107005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261,8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83,9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32,1</w:t>
            </w:r>
          </w:p>
        </w:tc>
      </w:tr>
      <w:tr>
        <w:trPr>
          <w:trHeight w:val="55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8880193990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188,8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46,2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24,5</w:t>
            </w:r>
          </w:p>
        </w:tc>
      </w:tr>
      <w:tr>
        <w:trPr>
          <w:trHeight w:val="55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8880692035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38,1</w:t>
            </w:r>
          </w:p>
        </w:tc>
      </w:tr>
      <w:tr>
        <w:trPr>
          <w:trHeight w:val="55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8880692035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bookmarkStart w:id="0" w:name="RANGE!A19%3AH20"/>
            <w:bookmarkEnd w:id="0"/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 ОБОРОНА 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295,8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21,0</w:t>
            </w:r>
          </w:p>
        </w:tc>
      </w:tr>
      <w:tr>
        <w:trPr>
          <w:trHeight w:val="547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295,8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21,0</w:t>
            </w:r>
          </w:p>
        </w:tc>
      </w:tr>
      <w:tr>
        <w:trPr>
          <w:trHeight w:val="1279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02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1422051180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213,5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47,3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22,1</w:t>
            </w:r>
          </w:p>
        </w:tc>
      </w:tr>
      <w:tr>
        <w:trPr>
          <w:trHeight w:val="1279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02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1422051180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82,3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14,8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18,0</w:t>
            </w:r>
          </w:p>
        </w:tc>
      </w:tr>
      <w:tr>
        <w:trPr>
          <w:trHeight w:val="50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7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03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0800303000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21,5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59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2637,4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792,6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30,1</w:t>
            </w:r>
          </w:p>
        </w:tc>
      </w:tr>
      <w:tr>
        <w:trPr>
          <w:trHeight w:val="36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2637,4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792,6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30,1</w:t>
            </w:r>
          </w:p>
        </w:tc>
      </w:tr>
      <w:tr>
        <w:trPr>
          <w:trHeight w:val="45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09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0620207080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2637,4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792,6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30,1</w:t>
            </w:r>
          </w:p>
        </w:tc>
      </w:tr>
      <w:tr>
        <w:trPr>
          <w:trHeight w:val="41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28063,5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2345,4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8,4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475,0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8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8880603503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475,0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27588,5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2345,4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8,5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1421004516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Иные межбюджетные трансферты на компенсацию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10000,0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1078,3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192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 территорий  общего пользования и мест массового отдыха населения р.п.Шаранга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4354,6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8880660102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4248,0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1083,5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25,5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8880660302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8880660402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248,5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37,4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15,1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8880660503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7320,7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1224,5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16,7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68,4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10362,9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2590,7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10362,9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2590,7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25,0</w:t>
            </w:r>
          </w:p>
        </w:tc>
      </w:tr>
      <w:tr>
        <w:trPr>
          <w:trHeight w:val="40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08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8880302106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10362,9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2590,7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25,0</w:t>
            </w:r>
          </w:p>
        </w:tc>
      </w:tr>
      <w:tr>
        <w:trPr>
          <w:trHeight w:val="597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02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СОЦИАЛЬНАЯ ПОЛИТИКА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283,0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6,2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8880621801</w:t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300</w:t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</w:t>
            </w:r>
          </w:p>
        </w:tc>
      </w:tr>
      <w:tr>
        <w:trPr>
          <w:trHeight w:val="549" w:hRule="atLeast"/>
        </w:trPr>
        <w:tc>
          <w:tcPr>
            <w:tcW w:w="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1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</w:r>
          </w:p>
        </w:tc>
        <w:tc>
          <w:tcPr>
            <w:tcW w:w="244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</w:r>
          </w:p>
        </w:tc>
        <w:tc>
          <w:tcPr>
            <w:tcW w:w="25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268,0</w:t>
            </w:r>
          </w:p>
        </w:tc>
        <w:tc>
          <w:tcPr>
            <w:tcW w:w="12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0,9</w:t>
            </w:r>
          </w:p>
        </w:tc>
      </w:tr>
      <w:tr>
        <w:trPr>
          <w:trHeight w:val="1073" w:hRule="atLeast"/>
        </w:trPr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06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8880614010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268,0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2,5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0,9</w:t>
            </w:r>
          </w:p>
        </w:tc>
      </w:tr>
      <w:tr>
        <w:trPr>
          <w:trHeight w:val="420" w:hRule="atLeast"/>
        </w:trPr>
        <w:tc>
          <w:tcPr>
            <w:tcW w:w="119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44494,1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6437,1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14,5</w:t>
            </w:r>
          </w:p>
        </w:tc>
      </w:tr>
      <w:tr>
        <w:trPr>
          <w:trHeight w:val="39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8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0" w:type="dxa"/>
            <w:gridSpan w:val="3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3" w:type="dxa"/>
            <w:gridSpan w:val="5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45" w:type="dxa"/>
            <w:gridSpan w:val="8"/>
            <w:tcBorders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89" w:type="dxa"/>
            <w:gridSpan w:val="6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55" w:type="dxa"/>
            <w:gridSpan w:val="23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                  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szCs w:val="28"/>
              </w:rPr>
            </w:pPr>
            <w:r>
              <w:rPr>
                <w:rFonts w:eastAsia="Arial" w:cs="Arial"/>
                <w:b w:val="false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Cs w:val="28"/>
              </w:rPr>
              <w:t>Приложение №3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к  решению поселкового Совета 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рабочего посёлка Шаранга 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Шарангского муниципального района</w:t>
            </w:r>
          </w:p>
          <w:p>
            <w:pPr>
              <w:pStyle w:val="Style18"/>
              <w:spacing w:lineRule="auto" w:line="240"/>
              <w:jc w:val="right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Нижегородской области</w:t>
            </w:r>
          </w:p>
          <w:p>
            <w:pPr>
              <w:pStyle w:val="ConsPlusNormal1"/>
              <w:bidi w:val="0"/>
              <w:jc w:val="right"/>
              <w:rPr/>
            </w:pPr>
            <w:r>
              <w:rPr/>
              <w:t xml:space="preserve">«Об исполнении бюджета  поселения </w:t>
            </w:r>
          </w:p>
          <w:p>
            <w:pPr>
              <w:pStyle w:val="ConsPlusNormal1"/>
              <w:bidi w:val="0"/>
              <w:jc w:val="right"/>
              <w:rPr/>
            </w:pPr>
            <w:r>
              <w:rPr/>
              <w:t>за 1 квартал 2020 год»</w:t>
            </w:r>
          </w:p>
          <w:p>
            <w:pPr>
              <w:pStyle w:val="ConsPlusNormal1"/>
              <w:bidi w:val="0"/>
              <w:ind w:left="4536" w:firstLine="567"/>
              <w:jc w:val="right"/>
              <w:rPr>
                <w:sz w:val="22"/>
                <w:szCs w:val="22"/>
              </w:rPr>
            </w:pPr>
            <w:r>
              <w:rPr/>
              <w:t>от 17.06.2020 №18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5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88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455" w:type="dxa"/>
            <w:gridSpan w:val="23"/>
            <w:tcBorders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/>
                <w:b/>
                <w:sz w:val="17"/>
                <w:szCs w:val="17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5" w:hRule="atLeast"/>
        </w:trPr>
        <w:tc>
          <w:tcPr>
            <w:tcW w:w="13456" w:type="dxa"/>
            <w:gridSpan w:val="32"/>
            <w:vMerge w:val="restart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Расходы бюджета поселения по разделам и подразделам классификации расходов бюджета поселения,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по целевым статьям (муниципальным программам и непрограммным направлениям деятельности)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  группам видов расходов за 1 квартал 2020 год</w:t>
            </w:r>
          </w:p>
        </w:tc>
        <w:tc>
          <w:tcPr>
            <w:tcW w:w="850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3456" w:type="dxa"/>
            <w:gridSpan w:val="32"/>
            <w:vMerge w:val="continue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0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88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957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700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153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8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511" w:type="dxa"/>
            <w:gridSpan w:val="4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850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02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889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4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957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700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153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28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511" w:type="dxa"/>
            <w:gridSpan w:val="4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тыс.рублей</w:t>
            </w:r>
          </w:p>
        </w:tc>
        <w:tc>
          <w:tcPr>
            <w:tcW w:w="850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15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12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План на 2020 год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  <w:lang w:val="en-US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Исполнено  за 1квартал 2020 год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% исп.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</w:tr>
      <w:tr>
        <w:trPr>
          <w:trHeight w:val="420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9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  <w:tc>
          <w:tcPr>
            <w:tcW w:w="12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  <w:tc>
          <w:tcPr>
            <w:tcW w:w="8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</w:r>
          </w:p>
        </w:tc>
      </w:tr>
      <w:tr>
        <w:trPr>
          <w:trHeight w:val="18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</w:tr>
      <w:tr>
        <w:trPr>
          <w:trHeight w:val="31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0420" w:type="dxa"/>
            <w:gridSpan w:val="2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 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2830,0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628,8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2565,2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544,9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0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</w:rPr>
              <w:t>0</w:t>
            </w:r>
            <w:r>
              <w:rPr>
                <w:rFonts w:cs="Arial" w:ascii="Arial Narrow" w:hAnsi="Arial Narrow"/>
                <w:lang w:val="en-US"/>
              </w:rPr>
              <w:t>4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</w:rPr>
              <w:t>20401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1185,9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200,0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04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2</w:t>
            </w:r>
            <w:r>
              <w:rPr>
                <w:rFonts w:cs="Arial"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575,7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172,8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8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04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888</w:t>
            </w:r>
            <w:r>
              <w:rPr>
                <w:rFonts w:cs="Arial" w:ascii="Arial Narrow" w:hAnsi="Arial Narrow"/>
                <w:sz w:val="16"/>
                <w:szCs w:val="16"/>
              </w:rPr>
              <w:t>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cs="Arial" w:ascii="Arial Narrow" w:hAnsi="Arial Narrow"/>
                <w:sz w:val="16"/>
                <w:szCs w:val="16"/>
              </w:rPr>
              <w:t>20800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803,6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172,1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8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  <w:lang w:val="en-US"/>
              </w:rPr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  <w:lang w:val="en-US"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8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Резервные фонды</w:t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8880107005</w:t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0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5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261,8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83,9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32,1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8880193990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188,8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46,2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8880692035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21,7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8880692035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295,8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62,1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295,8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62,1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1422051180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47,3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1422051180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82,3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14,8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</w:t>
            </w: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5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09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21,5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1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НАЦИОНАЛЬНАЯ  ЭКОНОМИКА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2637,4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792,6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9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2637,4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792,6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09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2637,4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792,6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4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ЖИЛИЩНО-КОММУНАЛЬНОЕ  ХОЗЯЙСТВО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28063,5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2345,4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475,0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475,0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27588,5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2345,4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8,5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1421004516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Иные межбюджетные трансферты на компенсацию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10000,0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14220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1078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57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192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 территорий  общего пользования и мест массового отдыха населения р.п.Шаранга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  <w:lang w:val="en-US"/>
              </w:rPr>
              <w:t>354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6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4248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1083.5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25.5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8880660302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270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8880660402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248,5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37.4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15.1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7320</w:t>
            </w:r>
            <w:r>
              <w:rPr>
                <w:rFonts w:cs="Arial" w:ascii="Arial" w:hAnsi="Arial"/>
              </w:rPr>
              <w:t>,7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1224,5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88806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68,4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КУЛЬТУРА,  КИНЕМАТОГРАФИЯ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10362,9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2590,7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1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10362,9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2590,7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6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500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rFonts w:cs="Arial"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10362,9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2590,7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0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СОЦИАЛЬНАЯ  ПОЛИТИКА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283,0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17,5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8880621801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п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rFonts w:cs="Arial" w:ascii="Arial" w:hAnsi="Arial"/>
                <w:bCs/>
              </w:rPr>
              <w:t>15,0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5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268,0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2,5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0,9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59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06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268,0</w:t>
            </w: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2,5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89" w:hRule="atLeast"/>
        </w:trPr>
        <w:tc>
          <w:tcPr>
            <w:tcW w:w="112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44494,1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6437,1</w:t>
            </w:r>
          </w:p>
        </w:tc>
        <w:tc>
          <w:tcPr>
            <w:tcW w:w="865" w:type="dxa"/>
            <w:gridSpan w:val="3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14,5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5" w:hRule="atLeast"/>
        </w:trPr>
        <w:tc>
          <w:tcPr>
            <w:tcW w:w="3858" w:type="dxa"/>
            <w:gridSpan w:val="7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  <w:bookmarkStart w:id="3" w:name="RANGE!A1%3AE30"/>
            <w:bookmarkStart w:id="4" w:name="RANGE!A1%3AE30"/>
            <w:bookmarkEnd w:id="4"/>
          </w:p>
        </w:tc>
        <w:tc>
          <w:tcPr>
            <w:tcW w:w="1768" w:type="dxa"/>
            <w:gridSpan w:val="8"/>
            <w:tcBorders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74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923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611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5687" w:type="dxa"/>
            <w:gridSpan w:val="1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</w:tbl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1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Приложение №4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к  решению поселкового Совета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рабочего посёлка Шаранга 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Шарангского муниципального района</w:t>
      </w:r>
    </w:p>
    <w:p>
      <w:pPr>
        <w:pStyle w:val="Style18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Нижегородской области</w:t>
      </w:r>
    </w:p>
    <w:p>
      <w:pPr>
        <w:pStyle w:val="ConsPlusNormal1"/>
        <w:bidi w:val="0"/>
        <w:jc w:val="right"/>
        <w:rPr/>
      </w:pPr>
      <w:r>
        <w:rPr/>
        <w:t xml:space="preserve">«Об исполнении бюджета  поселения </w:t>
      </w:r>
    </w:p>
    <w:p>
      <w:pPr>
        <w:pStyle w:val="ConsPlusNormal1"/>
        <w:bidi w:val="0"/>
        <w:jc w:val="right"/>
        <w:rPr/>
      </w:pPr>
      <w:r>
        <w:rPr/>
        <w:t>за 1 квартал 2020 год»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/>
        <w:t>от 17.06.2020 №18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jc w:val="center"/>
        <w:rPr/>
      </w:pPr>
      <w:r>
        <w:rPr>
          <w:b/>
          <w:bCs/>
          <w:sz w:val="24"/>
          <w:szCs w:val="24"/>
        </w:rPr>
        <w:t>Источники финансирования дефицита бюджета поселения за  1 квартал 2020 год</w:t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tbl>
      <w:tblPr>
        <w:tblW w:w="20281" w:type="dxa"/>
        <w:jc w:val="left"/>
        <w:tblInd w:w="-6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2113"/>
        <w:gridCol w:w="1929"/>
        <w:gridCol w:w="216"/>
        <w:gridCol w:w="4287"/>
        <w:gridCol w:w="3402"/>
        <w:gridCol w:w="10"/>
        <w:gridCol w:w="4536"/>
      </w:tblGrid>
      <w:tr>
        <w:trPr>
          <w:trHeight w:val="563" w:hRule="atLeast"/>
        </w:trPr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 показателя</w:t>
            </w:r>
          </w:p>
        </w:tc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191" w:hanging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Кассовое исполне-ние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990" w:hRule="atLeast"/>
        </w:trPr>
        <w:tc>
          <w:tcPr>
            <w:tcW w:w="3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администратора источника</w:t>
            </w:r>
            <w:r>
              <w:rPr>
                <w:rFonts w:cs="Arial" w:ascii="Arial" w:hAnsi="Arial"/>
                <w:b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финансирования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источника финансирования</w:t>
            </w:r>
          </w:p>
        </w:tc>
        <w:tc>
          <w:tcPr>
            <w:tcW w:w="3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78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30" w:hRule="atLeast"/>
        </w:trPr>
        <w:tc>
          <w:tcPr>
            <w:tcW w:w="378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Источники финансирования дефицита бюджета поселения, всего:                                                         в том числе: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3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328,0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450" w:hRule="atLeast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ИСТОЧНИКИ ВНУТРЕННЕГО ФИНАНСИРОВАНИЯ дефицита  БЮДЖЕТА ПОСЕЛЕНИЯ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3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327,0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из них: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4503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46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Администрация  рабочего поселка Шаранга Шарангского муниципального района Нижегородской области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3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327,7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Изменение остатков средств на счетах по учету средств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01050000000000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328,0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Поступление финансовых активов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01050201100000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500</w:t>
            </w:r>
          </w:p>
        </w:tc>
        <w:tc>
          <w:tcPr>
            <w:tcW w:w="3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</w:rPr>
              <w:t>- 6764,8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Поступление на счет бюджета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510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- 6764,8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Выбытие финансовых активов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01050201100000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600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</w:rPr>
              <w:t>6437,1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510" w:hRule="atLeast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Выбытие со счета бюджета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610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6437,1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/>
      </w:pPr>
      <w:r>
        <w:rPr/>
      </w:r>
    </w:p>
    <w:p>
      <w:pPr>
        <w:pStyle w:val="ConsPlusNormal1"/>
        <w:bidi w:val="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992" w:right="851" w:header="0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  <w:font w:name="Arial Narrow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8z0">
    <w:name w:val="WW8Num28z0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Times New Roman" w:hAnsi="Times New Roman" w:cs="Times New Roman"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character" w:styleId="21">
    <w:name w:val="Заголовок 2 Знак"/>
    <w:basedOn w:val="Style11"/>
    <w:qFormat/>
    <w:rPr>
      <w:rFonts w:ascii="Arial" w:hAnsi="Arial" w:cs="Arial"/>
      <w:sz w:val="24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7">
    <w:name w:val="Заголовок"/>
    <w:next w:val="Style18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2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3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2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645</TotalTime>
  <Application>LibreOffice/6.4.4.2$Windows_x86 LibreOffice_project/3d775be2011f3886db32dfd395a6a6d1ca2630ff</Application>
  <Pages>17</Pages>
  <Words>3114</Words>
  <Characters>22438</Characters>
  <CharactersWithSpaces>25072</CharactersWithSpaces>
  <Paragraphs>1026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2016-12-19T19:31:00Z</dcterms:created>
  <dc:creator>Катышева Е. В.</dc:creator>
  <dc:description/>
  <cp:keywords/>
  <dc:language>ru-RU</dc:language>
  <cp:lastModifiedBy>Admin</cp:lastModifiedBy>
  <cp:lastPrinted>2020-06-18T14:40:00Z</cp:lastPrinted>
  <dcterms:modified xsi:type="dcterms:W3CDTF">2020-06-18T13:40:00Z</dcterms:modified>
  <cp:revision>45</cp:revision>
  <dc:subject/>
  <dc:title>ПОСТАНОВЛЕНИЕ</dc:title>
</cp:coreProperties>
</file>