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25.10.2019</w:t>
        <w:tab/>
        <w:tab/>
        <w:tab/>
        <w:tab/>
        <w:tab/>
        <w:tab/>
        <w:tab/>
        <w:t>№ 18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9"/>
        <w:ind w:hanging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назначении публичных слушаний</w:t>
      </w:r>
    </w:p>
    <w:p>
      <w:pPr>
        <w:pStyle w:val="Style19"/>
        <w:ind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Роженцовского сельсовета Шарангского муниципального района Нижегородской области, сельский Совет </w:t>
      </w:r>
      <w:r>
        <w:rPr>
          <w:rFonts w:cs="Arial"/>
          <w:b/>
          <w:sz w:val="24"/>
          <w:szCs w:val="24"/>
        </w:rPr>
        <w:t>р е ш и л</w:t>
      </w:r>
      <w:r>
        <w:rPr>
          <w:rFonts w:cs="Arial"/>
          <w:sz w:val="24"/>
          <w:szCs w:val="24"/>
        </w:rPr>
        <w:t>: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1. Назначить публичные слушания в форме рассмотрения проектов муниципальных правовых актов на заседании сельского совета Роженцовского сельсовета с участием представителей общественности на 27 ноября 2019 года на 14 часов, место проведения публичных слушаний – кабинет главы администрации Роженцовского сельсовета: с.Роженцово ул.Учительская д.8.</w:t>
      </w:r>
    </w:p>
    <w:p>
      <w:pPr>
        <w:pStyle w:val="Style19"/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Утвердить вопрос, выносимый на публичные слушания: 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- о бюджете поселения на 2020 год.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3.Обнародовать проект бюджета поселения на 2020 год в доступных для ознакомления граждан местах (администрация сельсовета, библиотека с.Роженцово, библиотека д.Поздеево, Ермолинский ФАП, магазин п.Красная Горка).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4. Установить, что регистрация участников публичных слушаний начинается за один час до начала публичных слушаний.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5. Предложения по проекту «О бюджете поселения на 2020 год» подавать в кабинет специалистов администрации Роженцовского сельсовета: с.Роженцово ул.Учительская д.8 до 25 ноября  2019 года по рабочим дням с 8 до 17 час, перерыв на обед с 12 до 13 час.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6.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7.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8. Результаты публичных слушаний обнародовать в установленном порядке, определенном Уставом Роженцовского сельсовета, а также путем размещения на официальном сайте администрации Шарангского муниципального района в разделе «Сельские поселения - Администрация Роженцовского сельсовета» в течение  трех  дней с момента окончания  слушаний.</w:t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Л.Н.Бахтина</w:t>
      </w:r>
    </w:p>
    <w:sectPr>
      <w:type w:val="nextPage"/>
      <w:pgSz w:w="11906" w:h="16838"/>
      <w:pgMar w:left="1418" w:right="850" w:header="0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sz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423</TotalTime>
  <Application>LibreOffice/6.3.2.2$Windows_X86_64 LibreOffice_project/98b30e735bda24bc04ab42594c85f7fd8be07b9c</Application>
  <Pages>1</Pages>
  <Words>275</Words>
  <Characters>1938</Characters>
  <CharactersWithSpaces>2212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2016-03-24T11:42:00Z</dcterms:created>
  <dc:creator>Катышева Е. В.</dc:creator>
  <dc:description/>
  <cp:keywords/>
  <dc:language>ru-RU</dc:language>
  <cp:lastModifiedBy>User</cp:lastModifiedBy>
  <cp:lastPrinted>2019-10-25T14:09:00Z</cp:lastPrinted>
  <dcterms:modified xsi:type="dcterms:W3CDTF">2019-10-25T14:09:00Z</dcterms:modified>
  <cp:revision>51</cp:revision>
  <dc:subject/>
  <dc:title>ПОСТАНОВЛЕНИЕ</dc:title>
</cp:coreProperties>
</file>