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>СЕЛЬСКИЙ СОВЕТ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>СТАРОРУДКИНСКОГО СЕЛЬСОВЕТА</w:t>
      </w:r>
    </w:p>
    <w:p>
      <w:pPr>
        <w:pStyle w:val="Normal"/>
        <w:tabs>
          <w:tab w:val="left" w:pos="1306" w:leader="none"/>
          <w:tab w:val="center" w:pos="4677" w:leader="none"/>
        </w:tabs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>ШАРАНГСКОГО МУНИЦИПАЛЬНОГО РАЙОНА</w:t>
      </w:r>
    </w:p>
    <w:p>
      <w:pPr>
        <w:pStyle w:val="Normal"/>
        <w:tabs>
          <w:tab w:val="left" w:pos="1306" w:leader="none"/>
          <w:tab w:val="center" w:pos="4677" w:leader="none"/>
        </w:tabs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>НИЖЕГОРОДСКОЙ ОБЛАСТИ</w:t>
      </w:r>
    </w:p>
    <w:p>
      <w:pPr>
        <w:pStyle w:val="1"/>
        <w:keepNext w:val="false"/>
        <w:numPr>
          <w:ilvl w:val="0"/>
          <w:numId w:val="1"/>
        </w:numPr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</w:rPr>
        <w:t>РЕШЕНИЕ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28.06.2018</w:t>
        <w:tab/>
        <w:tab/>
        <w:tab/>
        <w:tab/>
        <w:tab/>
        <w:tab/>
        <w:tab/>
        <w:tab/>
        <w:tab/>
        <w:tab/>
        <w:t>№10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28"/>
        </w:rPr>
        <w:t>О внесении изменений в решение сельского Совета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28"/>
        </w:rPr>
        <w:t>Старорудкинского сельсовета Шарангского муниципального района Нижегородской области от 15.12.2017г № 33 «О бюджете поселения на 2018 год»</w:t>
      </w:r>
    </w:p>
    <w:p>
      <w:pPr>
        <w:pStyle w:val="Normal"/>
        <w:jc w:val="both"/>
        <w:rPr>
          <w:rFonts w:ascii="Arial" w:hAnsi="Arial" w:cs="Arial"/>
          <w:b/>
          <w:b/>
          <w:bCs/>
          <w:sz w:val="32"/>
          <w:szCs w:val="28"/>
        </w:rPr>
      </w:pPr>
      <w:r>
        <w:rPr>
          <w:rFonts w:cs="Arial" w:ascii="Arial" w:hAnsi="Arial"/>
          <w:b/>
          <w:bCs/>
          <w:sz w:val="32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szCs w:val="28"/>
        </w:rPr>
        <w:t>1. Статья 1</w:t>
      </w:r>
      <w:r>
        <w:rPr>
          <w:rFonts w:cs="Arial" w:ascii="Arial" w:hAnsi="Arial"/>
          <w:szCs w:val="28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Внести в решение сельского Совета Старорудкинского сельсовета от 15.12.2017 года № 33 «О бюджете поселения на 2018 год» следующие изменения: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1.Статью 1 изложить в следующей редакции: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Утвердить основные характеристики бюджета поселения на 2018 год: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1)Общий объем доходов в сумме 9939,8 тыс.рублей;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2)Общий объем расходов в сумме 10784,8 тыс.рублей.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3) Размер дефицита бюджета  в сумме 845 тыс.рублей.</w:t>
      </w:r>
    </w:p>
    <w:p>
      <w:pPr>
        <w:pStyle w:val="1"/>
        <w:keepNext w:val="false"/>
        <w:numPr>
          <w:ilvl w:val="0"/>
          <w:numId w:val="1"/>
        </w:numPr>
        <w:suppressAutoHyphens w:val="true"/>
        <w:rPr>
          <w:rFonts w:ascii="Arial" w:hAnsi="Arial" w:cs="Arial"/>
          <w:b w:val="false"/>
          <w:b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2.</w:t>
      </w:r>
      <w:r>
        <w:rPr>
          <w:rFonts w:cs="Arial" w:ascii="Arial" w:hAnsi="Arial"/>
        </w:rPr>
        <w:t>.В приложении 3 «Поступление доходов по группам, подгруппам и статьям</w:t>
      </w:r>
    </w:p>
    <w:p>
      <w:pPr>
        <w:pStyle w:val="Normal"/>
        <w:tabs>
          <w:tab w:val="left" w:pos="544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>бюджетной классификации на 2018 год»:</w:t>
      </w:r>
    </w:p>
    <w:p>
      <w:pPr>
        <w:pStyle w:val="Normal"/>
        <w:tabs>
          <w:tab w:val="left" w:pos="5442" w:leader="none"/>
        </w:tabs>
        <w:jc w:val="right"/>
        <w:rPr/>
      </w:pPr>
      <w:r>
        <w:rPr/>
        <w:t>тыс. рублей</w:t>
      </w:r>
    </w:p>
    <w:tbl>
      <w:tblPr>
        <w:tblW w:w="10079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29"/>
        <w:gridCol w:w="5580"/>
        <w:gridCol w:w="1270"/>
      </w:tblGrid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Сумма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1. Налоговые и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1352,7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2.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8587,1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8060,9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20210000000000151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</w:rPr>
              <w:t>3011,6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/>
            </w:pPr>
            <w:r>
              <w:rPr>
                <w:rFonts w:cs="Arial" w:ascii="Arial" w:hAnsi="Arial"/>
                <w:szCs w:val="22"/>
              </w:rPr>
              <w:t>20215001100000151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</w:rPr>
              <w:t>3011,6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20230000000000151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61,0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20235118100000151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2.1.2.1.Субвенции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61,0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20240000000000151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/>
            </w:pPr>
            <w:r>
              <w:rPr>
                <w:rFonts w:cs="Arial" w:ascii="Arial" w:hAnsi="Arial"/>
                <w:szCs w:val="22"/>
              </w:rPr>
              <w:t>2.1.3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4988,3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20249999100000151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/>
            </w:pPr>
            <w:r>
              <w:rPr>
                <w:rFonts w:cs="Arial" w:ascii="Arial" w:hAnsi="Arial"/>
                <w:szCs w:val="22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3589,5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/>
            </w:pPr>
            <w:r>
              <w:rPr>
                <w:rFonts w:cs="Arial" w:ascii="Arial" w:hAnsi="Arial"/>
                <w:szCs w:val="22"/>
              </w:rPr>
              <w:t>2.1.3.1.1.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3589,5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20249999109000151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/>
            </w:pPr>
            <w:r>
              <w:rPr>
                <w:rFonts w:cs="Arial" w:ascii="Arial" w:hAnsi="Arial"/>
                <w:szCs w:val="22"/>
              </w:rPr>
              <w:t>2.1.3.2.Прочие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1398,8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20405099100000180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2.2. Прочие безвозмездные поступления от  негосударственных организаций в бюджеты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360,9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20405099109000180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/>
            </w:pPr>
            <w:r>
              <w:rPr>
                <w:rFonts w:cs="Arial" w:ascii="Arial" w:hAnsi="Arial"/>
                <w:szCs w:val="22"/>
              </w:rPr>
              <w:t>2.2.1.Прочие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360,9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20705030100000180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2.3.Прочие безвозмездные поступления в бюджеты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165,3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/>
            </w:pPr>
            <w:r>
              <w:rPr>
                <w:rFonts w:cs="Arial" w:ascii="Arial" w:hAnsi="Arial"/>
                <w:szCs w:val="22"/>
              </w:rPr>
              <w:t>20705030109000180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2.3.1.Прочие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165,3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Всего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9939,8</w:t>
            </w:r>
          </w:p>
        </w:tc>
      </w:tr>
    </w:tbl>
    <w:p>
      <w:pPr>
        <w:pStyle w:val="1"/>
        <w:keepNext w:val="false"/>
        <w:numPr>
          <w:ilvl w:val="0"/>
          <w:numId w:val="1"/>
        </w:numPr>
        <w:suppressAutoHyphens w:val="true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3.В приложении 4 «Источники финансирования дефицита бюджета поселения на</w:t>
      </w:r>
    </w:p>
    <w:p>
      <w:pPr>
        <w:pStyle w:val="1"/>
        <w:keepNext w:val="false"/>
        <w:numPr>
          <w:ilvl w:val="0"/>
          <w:numId w:val="1"/>
        </w:numPr>
        <w:suppressAutoHyphens w:val="true"/>
        <w:jc w:val="center"/>
        <w:rPr>
          <w:rFonts w:ascii="Arial" w:hAnsi="Arial" w:cs="Arial"/>
          <w:b w:val="false"/>
          <w:b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sz w:val="24"/>
          <w:szCs w:val="24"/>
        </w:rPr>
        <w:t>2018 год»</w:t>
      </w:r>
      <w:r>
        <w:rPr>
          <w:rFonts w:cs="Arial" w:ascii="Arial" w:hAnsi="Arial"/>
          <w:b w:val="false"/>
          <w:sz w:val="24"/>
          <w:szCs w:val="24"/>
          <w:lang w:val="ru-RU"/>
        </w:rPr>
        <w:t>:</w:t>
      </w:r>
    </w:p>
    <w:p>
      <w:pPr>
        <w:pStyle w:val="Normal"/>
        <w:tabs>
          <w:tab w:val="left" w:pos="6440" w:leader="none"/>
          <w:tab w:val="right" w:pos="9637" w:leader="none"/>
        </w:tabs>
        <w:ind w:first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>тыс.рублей</w:t>
      </w:r>
    </w:p>
    <w:tbl>
      <w:tblPr>
        <w:tblW w:w="10075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931"/>
        <w:gridCol w:w="1144"/>
      </w:tblGrid>
      <w:tr>
        <w:trPr>
          <w:tblHeader w:val="true"/>
          <w:trHeight w:val="57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Сумма </w:t>
            </w:r>
          </w:p>
        </w:tc>
      </w:tr>
      <w:tr>
        <w:trPr>
          <w:trHeight w:val="57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keepNext w:val="false"/>
              <w:numPr>
                <w:ilvl w:val="0"/>
                <w:numId w:val="1"/>
              </w:numPr>
              <w:suppressAutoHyphens w:val="true"/>
              <w:spacing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845,0</w:t>
            </w:r>
          </w:p>
        </w:tc>
      </w:tr>
      <w:tr>
        <w:trPr>
          <w:trHeight w:val="57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keepNext w:val="false"/>
              <w:numPr>
                <w:ilvl w:val="0"/>
                <w:numId w:val="1"/>
              </w:numPr>
              <w:suppressAutoHyphens w:val="true"/>
              <w:spacing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val="ru-RU" w:eastAsia="ru-RU"/>
              </w:rPr>
              <w:t>ВСЕГО источников финансирования дефицита бюджета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845,0</w:t>
            </w:r>
          </w:p>
        </w:tc>
      </w:tr>
    </w:tbl>
    <w:p>
      <w:pPr>
        <w:pStyle w:val="Normal"/>
        <w:ind w:left="180" w:firstLine="1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80" w:firstLine="180"/>
        <w:jc w:val="center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</w:rPr>
        <w:t>4.В приложении 5 «Распределение бюджетных ассигнований по целевым статьям (</w:t>
      </w:r>
      <w:r>
        <w:rPr>
          <w:rFonts w:cs="Arial" w:ascii="Arial" w:hAnsi="Arial"/>
          <w:kern w:val="2"/>
          <w:szCs w:val="28"/>
        </w:rPr>
        <w:t>муниципальным программам и непрограммным направлениям деятельности), группам видов расходов классификации расходов бюджета</w:t>
      </w:r>
    </w:p>
    <w:p>
      <w:pPr>
        <w:pStyle w:val="Normal"/>
        <w:ind w:left="180" w:firstLine="180"/>
        <w:jc w:val="center"/>
        <w:rPr>
          <w:rFonts w:ascii="Arial" w:hAnsi="Arial" w:cs="Arial"/>
        </w:rPr>
      </w:pPr>
      <w:r>
        <w:rPr>
          <w:rFonts w:cs="Arial" w:ascii="Arial" w:hAnsi="Arial"/>
          <w:kern w:val="2"/>
          <w:szCs w:val="28"/>
        </w:rPr>
        <w:t>на 2018 год»:</w:t>
      </w:r>
    </w:p>
    <w:p>
      <w:pPr>
        <w:pStyle w:val="Normal"/>
        <w:tabs>
          <w:tab w:val="left" w:pos="6612" w:leader="none"/>
          <w:tab w:val="right" w:pos="9637" w:leader="none"/>
        </w:tabs>
        <w:overflowPunct w:val="false"/>
        <w:autoSpaceDE w:val="false"/>
        <w:jc w:val="right"/>
        <w:textAlignment w:val="baseline"/>
        <w:rPr/>
      </w:pPr>
      <w:r>
        <w:rPr/>
        <w:t>тыс. рублей</w:t>
      </w:r>
    </w:p>
    <w:tbl>
      <w:tblPr>
        <w:tblW w:w="10075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02"/>
        <w:gridCol w:w="8"/>
        <w:gridCol w:w="1860"/>
        <w:gridCol w:w="1238"/>
        <w:gridCol w:w="1867"/>
      </w:tblGrid>
      <w:tr>
        <w:trPr>
          <w:tblHeader w:val="true"/>
          <w:trHeight w:val="143" w:hRule="atLeast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blHeader w:val="true"/>
          <w:trHeight w:val="315" w:hRule="atLeast"/>
        </w:trPr>
        <w:tc>
          <w:tcPr>
            <w:tcW w:w="5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6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Целевая статья расходов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Муниципальная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656,1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656,1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автомобильных дорог общего пользования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Cs/>
              </w:rPr>
              <w:t>656,1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656,1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2018– 2020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1315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1315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1175,4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140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1618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40,9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</w:t>
            </w:r>
            <w:r>
              <w:rPr>
                <w:rFonts w:cs="Arial" w:ascii="Arial" w:hAnsi="Arial"/>
                <w:bCs/>
              </w:rPr>
              <w:t>2190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highlight w:val="lightGray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highlight w:val="lightGray"/>
              </w:rPr>
            </w:pPr>
            <w:r>
              <w:rPr>
                <w:rFonts w:cs="Arial" w:ascii="Arial" w:hAnsi="Arial"/>
                <w:bCs/>
              </w:rPr>
              <w:t>158,6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</w:t>
            </w:r>
            <w:r>
              <w:rPr>
                <w:rFonts w:cs="Arial" w:ascii="Arial" w:hAnsi="Arial"/>
                <w:bCs/>
              </w:rPr>
              <w:t>2190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highlight w:val="lightGray"/>
              </w:rPr>
            </w:pPr>
            <w:r>
              <w:rPr>
                <w:rFonts w:cs="Arial" w:ascii="Arial" w:hAnsi="Arial"/>
                <w:bCs/>
                <w:lang w:val="en-US"/>
              </w:rPr>
              <w:t>1</w:t>
            </w: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158,6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за счет субсидии на реализацию проекта по поддержке местных инициатив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 xml:space="preserve">14 2 20 </w:t>
            </w:r>
            <w:r>
              <w:rPr>
                <w:rFonts w:cs="Arial" w:ascii="Arial" w:hAnsi="Arial"/>
                <w:lang w:val="en-US"/>
              </w:rPr>
              <w:t>S26</w:t>
            </w:r>
            <w:r>
              <w:rPr>
                <w:rFonts w:cs="Arial" w:ascii="Arial" w:hAnsi="Arial"/>
              </w:rPr>
              <w:t>0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1398,8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 xml:space="preserve">14 2 20 </w:t>
            </w:r>
            <w:r>
              <w:rPr>
                <w:rFonts w:cs="Arial" w:ascii="Arial" w:hAnsi="Arial"/>
                <w:lang w:val="en-US"/>
              </w:rPr>
              <w:t>S26</w:t>
            </w:r>
            <w:r>
              <w:rPr>
                <w:rFonts w:cs="Arial" w:ascii="Arial" w:hAnsi="Arial"/>
              </w:rPr>
              <w:t>0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1398,8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«Развитие физической культуры и спорта Шарангского муниципального района на 2015-2019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15 0 00 00000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725,9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15 1 00 00000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725,9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725,9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725,9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442,4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282,5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Охрана окружающей среды от загрязнения отходами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свалки ТБО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6447,6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6447,6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/>
            </w:pPr>
            <w:r>
              <w:rPr>
                <w:rFonts w:cs="Arial" w:ascii="Arial" w:hAnsi="Arial"/>
                <w:bCs/>
                <w:lang w:val="en-US"/>
              </w:rPr>
              <w:t>635</w:t>
            </w:r>
            <w:r>
              <w:rPr>
                <w:rFonts w:cs="Arial" w:ascii="Arial" w:hAnsi="Arial"/>
                <w:bCs/>
              </w:rPr>
              <w:t>0,</w:t>
            </w:r>
            <w:r>
              <w:rPr>
                <w:rFonts w:cs="Arial" w:ascii="Arial" w:hAnsi="Arial"/>
                <w:bCs/>
                <w:lang w:val="en-US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490,3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143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586,7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586,7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3260,7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3260,7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реализацию проекта по поддержке местных инициатив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88 8 03 </w:t>
            </w:r>
            <w:r>
              <w:rPr>
                <w:rFonts w:cs="Arial" w:ascii="Arial" w:hAnsi="Arial"/>
                <w:lang w:val="en-US"/>
              </w:rPr>
              <w:t>S26</w:t>
            </w:r>
            <w:r>
              <w:rPr>
                <w:rFonts w:cs="Arial" w:ascii="Arial" w:hAnsi="Arial"/>
              </w:rPr>
              <w:t>0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1356,2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88 8 03 </w:t>
            </w:r>
            <w:r>
              <w:rPr>
                <w:rFonts w:cs="Arial" w:ascii="Arial" w:hAnsi="Arial"/>
                <w:lang w:val="en-US"/>
              </w:rPr>
              <w:t>S26</w:t>
            </w:r>
            <w:r>
              <w:rPr>
                <w:rFonts w:cs="Arial" w:ascii="Arial" w:hAnsi="Arial"/>
              </w:rPr>
              <w:t>0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1356,2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525.6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74,3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74,3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396,5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396,5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/>
            </w:pPr>
            <w:r>
              <w:rPr>
                <w:rFonts w:cs="Arial" w:ascii="Arial" w:hAnsi="Arial"/>
                <w:bCs/>
              </w:rPr>
              <w:t>45,</w:t>
            </w:r>
            <w:r>
              <w:rPr>
                <w:rFonts w:cs="Arial" w:ascii="Arial" w:hAnsi="Arial"/>
                <w:bCs/>
                <w:lang w:val="en-US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/>
            </w:pPr>
            <w:r>
              <w:rPr>
                <w:rFonts w:cs="Arial" w:ascii="Arial" w:hAnsi="Arial"/>
                <w:bCs/>
              </w:rPr>
              <w:t>45,</w:t>
            </w:r>
            <w:r>
              <w:rPr>
                <w:rFonts w:cs="Arial" w:ascii="Arial" w:hAnsi="Arial"/>
                <w:bCs/>
                <w:lang w:val="en-US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</w:t>
            </w:r>
            <w:r>
              <w:rPr>
                <w:rFonts w:cs="Arial" w:ascii="Arial" w:hAnsi="Arial"/>
                <w:bCs/>
              </w:rPr>
              <w:t>иципального образования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cs="Arial" w:ascii="Arial" w:hAnsi="Arial"/>
              </w:rPr>
              <w:t xml:space="preserve"> муниципального образования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Всего расходов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10784,8</w:t>
            </w:r>
          </w:p>
        </w:tc>
      </w:tr>
    </w:tbl>
    <w:p>
      <w:pPr>
        <w:pStyle w:val="Normal"/>
        <w:overflowPunct w:val="false"/>
        <w:autoSpaceDE w:val="false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</w:r>
    </w:p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  <w:t>5.В приложении 6 «Ведомственная структура расходов бюджета поселения на 2018год»:</w:t>
      </w:r>
    </w:p>
    <w:tbl>
      <w:tblPr>
        <w:tblW w:w="10075" w:type="dxa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865"/>
        <w:gridCol w:w="28"/>
        <w:gridCol w:w="680"/>
        <w:gridCol w:w="709"/>
        <w:gridCol w:w="1843"/>
        <w:gridCol w:w="709"/>
        <w:gridCol w:w="1559"/>
        <w:gridCol w:w="10"/>
      </w:tblGrid>
      <w:tr>
        <w:trPr>
          <w:trHeight w:val="264" w:hRule="atLeast"/>
        </w:trPr>
        <w:tc>
          <w:tcPr>
            <w:tcW w:w="367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9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тыс. рублей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cs="Arial" w:ascii="Arial" w:hAnsi="Arial"/>
                <w:bCs/>
                <w:szCs w:val="20"/>
              </w:rPr>
              <w:t>Ведом-ство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cs="Arial" w:ascii="Arial" w:hAnsi="Arial"/>
                <w:bCs/>
                <w:szCs w:val="20"/>
              </w:rPr>
              <w:t>Раздел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cs="Arial" w:ascii="Arial" w:hAnsi="Arial"/>
                <w:bCs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cs="Arial" w:ascii="Arial" w:hAnsi="Arial"/>
                <w:bCs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cs="Arial" w:ascii="Arial" w:hAnsi="Arial"/>
                <w:bCs/>
                <w:szCs w:val="20"/>
              </w:rPr>
              <w:t>Вид расходов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bCs/>
                <w:szCs w:val="20"/>
              </w:rPr>
            </w:pPr>
            <w:r>
              <w:rPr>
                <w:rFonts w:cs="Arial" w:ascii="Arial" w:hAnsi="Arial"/>
                <w:bCs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Администрация Старорудкинского сельсовета Шарангского муниципального района Нижегородской области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487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10784,</w:t>
            </w:r>
            <w:r>
              <w:rPr>
                <w:rFonts w:cs="Arial" w:ascii="Arial" w:hAnsi="Arial"/>
                <w:b/>
                <w:bCs/>
                <w:lang w:val="en-US"/>
              </w:rPr>
              <w:t>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1318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4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1224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2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2,4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2,4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17 3 09 00000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2,4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2,4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2,4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1221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1221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635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490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3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143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bookmarkStart w:id="1" w:name="RANGE!C22"/>
            <w:bookmarkStart w:id="2" w:name="RANGE!C22%3AF23"/>
            <w:bookmarkEnd w:id="2"/>
            <w:r>
              <w:rPr>
                <w:rFonts w:cs="Arial" w:ascii="Arial" w:hAnsi="Arial"/>
              </w:rPr>
              <w:t>04</w:t>
            </w:r>
            <w:bookmarkEnd w:id="1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5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586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586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Резервные фонды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91</w:t>
            </w:r>
            <w:r>
              <w:rPr>
                <w:rFonts w:cs="Arial" w:ascii="Arial" w:hAnsi="Arial"/>
                <w:b/>
              </w:rPr>
              <w:t>,</w:t>
            </w:r>
            <w:r>
              <w:rPr>
                <w:rFonts w:cs="Arial" w:ascii="Arial" w:hAnsi="Arial"/>
                <w:b/>
                <w:lang w:val="en-US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S2190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7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S2190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7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/>
            </w:pPr>
            <w:r>
              <w:rPr>
                <w:rFonts w:cs="Arial" w:ascii="Arial" w:hAnsi="Arial"/>
                <w:bCs/>
                <w:lang w:val="en-US"/>
              </w:rPr>
              <w:t>8</w:t>
            </w:r>
            <w:r>
              <w:rPr>
                <w:rFonts w:cs="Arial" w:ascii="Arial" w:hAnsi="Arial"/>
                <w:bCs/>
              </w:rPr>
              <w:t>3,</w:t>
            </w:r>
            <w:r>
              <w:rPr>
                <w:rFonts w:cs="Arial" w:ascii="Arial" w:hAnsi="Arial"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/>
            </w:pPr>
            <w:r>
              <w:rPr>
                <w:rFonts w:cs="Arial" w:ascii="Arial" w:hAnsi="Arial"/>
                <w:bCs/>
                <w:lang w:val="en-US"/>
              </w:rPr>
              <w:t>8</w:t>
            </w:r>
            <w:r>
              <w:rPr>
                <w:rFonts w:cs="Arial" w:ascii="Arial" w:hAnsi="Arial"/>
                <w:bCs/>
              </w:rPr>
              <w:t>3,</w:t>
            </w:r>
            <w:r>
              <w:rPr>
                <w:rFonts w:cs="Arial" w:ascii="Arial" w:hAnsi="Arial"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80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80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Национальная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/>
                <w:lang w:val="en-US"/>
              </w:rPr>
              <w:t>61</w:t>
            </w:r>
            <w:r>
              <w:rPr>
                <w:rFonts w:cs="Arial" w:ascii="Arial" w:hAnsi="Arial"/>
                <w:b/>
              </w:rPr>
              <w:t>,</w:t>
            </w:r>
            <w:r>
              <w:rPr>
                <w:rFonts w:cs="Arial" w:ascii="Arial" w:hAnsi="Arial"/>
                <w:b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/>
                <w:lang w:val="en-US"/>
              </w:rPr>
              <w:t>61</w:t>
            </w:r>
            <w:r>
              <w:rPr>
                <w:rFonts w:cs="Arial" w:ascii="Arial" w:hAnsi="Arial"/>
                <w:b/>
              </w:rPr>
              <w:t>,</w:t>
            </w:r>
            <w:r>
              <w:rPr>
                <w:rFonts w:cs="Arial" w:ascii="Arial" w:hAnsi="Arial"/>
                <w:b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/>
                <w:lang w:val="en-US"/>
              </w:rPr>
              <w:t>61</w:t>
            </w:r>
            <w:r>
              <w:rPr>
                <w:rFonts w:cs="Arial" w:ascii="Arial" w:hAnsi="Arial"/>
                <w:b/>
              </w:rPr>
              <w:t>,</w:t>
            </w:r>
            <w:r>
              <w:rPr>
                <w:rFonts w:cs="Arial" w:ascii="Arial" w:hAnsi="Arial"/>
                <w:b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61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61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40,9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20,1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1426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1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1411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1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/>
            </w:pPr>
            <w:r>
              <w:rPr>
                <w:rFonts w:cs="Arial" w:ascii="Arial" w:hAnsi="Arial"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/>
            </w:pPr>
            <w:r>
              <w:rPr>
                <w:rFonts w:cs="Arial" w:ascii="Arial" w:hAnsi="Arial"/>
                <w:bCs/>
                <w:lang w:val="en-US"/>
              </w:rPr>
              <w:t>1300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1300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4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1175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125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S2190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0</w:t>
            </w:r>
            <w:r>
              <w:rPr>
                <w:rFonts w:cs="Arial" w:ascii="Arial" w:hAnsi="Arial"/>
                <w:lang w:val="en-US"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110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S2190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110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34</w:t>
            </w:r>
            <w:r>
              <w:rPr>
                <w:rFonts w:cs="Arial" w:ascii="Arial" w:hAnsi="Arial"/>
                <w:b/>
                <w:bCs/>
              </w:rPr>
              <w:t>1</w:t>
            </w:r>
            <w:r>
              <w:rPr>
                <w:rFonts w:cs="Arial" w:ascii="Arial" w:hAnsi="Arial"/>
                <w:b/>
                <w:bCs/>
                <w:lang w:val="en-US"/>
              </w:rPr>
              <w:t>9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Общеэкономические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  <w:color w:val="000000"/>
                <w:lang w:val="en-US"/>
              </w:rPr>
              <w:t>34</w:t>
            </w:r>
            <w:r>
              <w:rPr>
                <w:rFonts w:cs="Arial" w:ascii="Arial" w:hAnsi="Arial"/>
                <w:b/>
                <w:bCs/>
                <w:color w:val="000000"/>
              </w:rPr>
              <w:t>1</w:t>
            </w:r>
            <w:r>
              <w:rPr>
                <w:rFonts w:cs="Arial" w:ascii="Arial" w:hAnsi="Arial"/>
                <w:b/>
                <w:bCs/>
                <w:color w:val="000000"/>
                <w:lang w:val="en-US"/>
              </w:rPr>
              <w:t>1</w:t>
            </w:r>
            <w:r>
              <w:rPr>
                <w:rFonts w:cs="Arial" w:ascii="Arial" w:hAnsi="Arial"/>
                <w:b/>
                <w:bCs/>
                <w:color w:val="000000"/>
              </w:rPr>
              <w:t>,</w:t>
            </w:r>
            <w:r>
              <w:rPr>
                <w:rFonts w:cs="Arial" w:ascii="Arial" w:hAnsi="Arial"/>
                <w:b/>
                <w:bCs/>
                <w:color w:val="000000"/>
                <w:lang w:val="en-US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</w:rPr>
              <w:t>0</w:t>
            </w:r>
            <w:r>
              <w:rPr>
                <w:rFonts w:cs="Arial" w:ascii="Arial" w:hAnsi="Arial"/>
                <w:b/>
                <w:bCs/>
                <w:lang w:val="en-US"/>
              </w:rPr>
              <w:t>6</w:t>
            </w:r>
            <w:r>
              <w:rPr>
                <w:rFonts w:cs="Arial" w:ascii="Arial" w:hAnsi="Arial"/>
                <w:b/>
                <w:bCs/>
              </w:rPr>
              <w:t xml:space="preserve">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656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0</w:t>
            </w:r>
            <w:r>
              <w:rPr>
                <w:rFonts w:cs="Arial" w:ascii="Arial" w:hAnsi="Arial"/>
                <w:bCs/>
                <w:lang w:val="en-US"/>
              </w:rPr>
              <w:t>6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2</w:t>
            </w:r>
            <w:r>
              <w:rPr>
                <w:rFonts w:cs="Arial" w:ascii="Arial" w:hAnsi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656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656,1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656,1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за счет субсидии на реализацию проекта по поддержке местных инициатив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S2600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1398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S2600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1398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реализацию проекта по поддержке местных инициатив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 xml:space="preserve">88 8 03 </w:t>
            </w:r>
            <w:r>
              <w:rPr>
                <w:rFonts w:cs="Arial" w:ascii="Arial" w:hAnsi="Arial"/>
                <w:bCs/>
                <w:lang w:val="en-US"/>
              </w:rPr>
              <w:t>S2600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13</w:t>
            </w:r>
            <w:r>
              <w:rPr>
                <w:rFonts w:cs="Arial" w:ascii="Arial" w:hAnsi="Arial"/>
                <w:bCs/>
              </w:rPr>
              <w:t>5</w:t>
            </w:r>
            <w:r>
              <w:rPr>
                <w:rFonts w:cs="Arial" w:ascii="Arial" w:hAnsi="Arial"/>
                <w:bCs/>
                <w:lang w:val="en-US"/>
              </w:rPr>
              <w:t>6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88 8 03 </w:t>
            </w:r>
            <w:r>
              <w:rPr>
                <w:rFonts w:cs="Arial" w:ascii="Arial" w:hAnsi="Arial"/>
                <w:bCs/>
                <w:lang w:val="en-US"/>
              </w:rPr>
              <w:t>S2600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13</w:t>
            </w:r>
            <w:r>
              <w:rPr>
                <w:rFonts w:cs="Arial" w:ascii="Arial" w:hAnsi="Arial"/>
                <w:bCs/>
              </w:rPr>
              <w:t>5</w:t>
            </w:r>
            <w:r>
              <w:rPr>
                <w:rFonts w:cs="Arial" w:ascii="Arial" w:hAnsi="Arial"/>
                <w:bCs/>
                <w:lang w:val="en-US"/>
              </w:rPr>
              <w:t>6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527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74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74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74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74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74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74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453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11</w:t>
            </w:r>
            <w:r>
              <w:rPr>
                <w:rFonts w:cs="Arial" w:ascii="Arial" w:hAnsi="Arial"/>
                <w:b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11</w:t>
            </w:r>
            <w:r>
              <w:rPr>
                <w:rFonts w:cs="Arial" w:ascii="Arial" w:hAnsi="Arial"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свалки ТБО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11</w:t>
            </w:r>
            <w:r>
              <w:rPr>
                <w:rFonts w:cs="Arial" w:ascii="Arial" w:hAnsi="Arial"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среды(кроме органов местного самоуправления)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11</w:t>
            </w:r>
            <w:r>
              <w:rPr>
                <w:rFonts w:cs="Arial" w:ascii="Arial" w:hAnsi="Arial"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11</w:t>
            </w:r>
            <w:r>
              <w:rPr>
                <w:rFonts w:cs="Arial" w:ascii="Arial" w:hAnsi="Arial"/>
                <w:bCs/>
              </w:rPr>
              <w:t>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442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442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/>
            </w:pPr>
            <w:r>
              <w:rPr>
                <w:rFonts w:cs="Arial" w:ascii="Arial" w:hAnsi="Arial"/>
                <w:bCs/>
                <w:lang w:val="en-US"/>
              </w:rPr>
              <w:t>442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3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396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396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5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/>
            </w:pPr>
            <w:r>
              <w:rPr>
                <w:rFonts w:cs="Arial" w:ascii="Arial" w:hAnsi="Arial"/>
                <w:bCs/>
                <w:lang w:val="en-US"/>
              </w:rPr>
              <w:t>45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8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/>
            </w:pPr>
            <w:r>
              <w:rPr>
                <w:rFonts w:cs="Arial" w:ascii="Arial" w:hAnsi="Arial"/>
                <w:bCs/>
                <w:lang w:val="en-US"/>
              </w:rPr>
              <w:t>45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3260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3260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3260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3260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  <w:lang w:val="en-US"/>
              </w:rPr>
              <w:t>3260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7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/>
            </w:pPr>
            <w:r>
              <w:rPr>
                <w:rFonts w:cs="Arial" w:ascii="Arial" w:hAnsi="Arial"/>
                <w:bCs/>
                <w:lang w:val="en-US"/>
              </w:rPr>
              <w:t>3260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3260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Физическая культура и спорт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00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/>
                <w:lang w:val="en-US"/>
              </w:rPr>
              <w:t>765</w:t>
            </w:r>
            <w:r>
              <w:rPr>
                <w:rFonts w:cs="Arial" w:ascii="Arial" w:hAnsi="Arial"/>
                <w:b/>
              </w:rPr>
              <w:t>,</w:t>
            </w:r>
            <w:r>
              <w:rPr>
                <w:rFonts w:cs="Arial" w:ascii="Arial" w:hAnsi="Arial"/>
                <w:b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Массовый спорт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/>
                <w:lang w:val="en-US"/>
              </w:rPr>
              <w:t>765</w:t>
            </w:r>
            <w:r>
              <w:rPr>
                <w:rFonts w:cs="Arial" w:ascii="Arial" w:hAnsi="Arial"/>
                <w:b/>
              </w:rPr>
              <w:t>,</w:t>
            </w:r>
            <w:r>
              <w:rPr>
                <w:rFonts w:cs="Arial" w:ascii="Arial" w:hAnsi="Arial"/>
                <w:b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S2190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40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«Развитие физической культуры и спорта Шарангского муниципального района на 2015-2019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/>
                <w:lang w:val="en-US"/>
              </w:rPr>
              <w:t>725</w:t>
            </w:r>
            <w:r>
              <w:rPr>
                <w:rFonts w:cs="Arial" w:ascii="Arial" w:hAnsi="Arial"/>
                <w:b/>
              </w:rPr>
              <w:t>,</w:t>
            </w:r>
            <w:r>
              <w:rPr>
                <w:rFonts w:cs="Arial" w:ascii="Arial" w:hAnsi="Arial"/>
                <w:b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725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Муниципальные учреждения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725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725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442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282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1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Всего расходов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/>
                <w:bCs/>
                <w:lang w:val="en-US"/>
              </w:rPr>
              <w:t>10</w:t>
            </w:r>
            <w:r>
              <w:rPr>
                <w:rFonts w:cs="Arial" w:ascii="Arial" w:hAnsi="Arial"/>
                <w:b/>
                <w:bCs/>
              </w:rPr>
              <w:t>78</w:t>
            </w:r>
            <w:r>
              <w:rPr>
                <w:rFonts w:cs="Arial" w:ascii="Arial" w:hAnsi="Arial"/>
                <w:b/>
                <w:bCs/>
                <w:lang w:val="en-US"/>
              </w:rPr>
              <w:t>4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8</w:t>
            </w:r>
          </w:p>
        </w:tc>
      </w:tr>
    </w:tbl>
    <w:p>
      <w:pPr>
        <w:pStyle w:val="Normal"/>
        <w:overflowPunct w:val="false"/>
        <w:autoSpaceDE w:val="false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</w:r>
    </w:p>
    <w:tbl>
      <w:tblPr>
        <w:tblW w:w="10217" w:type="dxa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6"/>
        <w:gridCol w:w="1071"/>
        <w:gridCol w:w="1453"/>
        <w:gridCol w:w="2233"/>
        <w:gridCol w:w="1134"/>
        <w:gridCol w:w="10"/>
      </w:tblGrid>
      <w:tr>
        <w:trPr>
          <w:trHeight w:val="255" w:hRule="atLeast"/>
        </w:trPr>
        <w:tc>
          <w:tcPr>
            <w:tcW w:w="1020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cs="Arial" w:ascii="Arial" w:hAnsi="Arial"/>
                <w:kern w:val="2"/>
                <w:szCs w:val="28"/>
              </w:rPr>
              <w:t>6.В приложении 7 «</w:t>
            </w:r>
            <w:r>
              <w:rPr>
                <w:rFonts w:cs="Arial" w:ascii="Arial" w:hAnsi="Arial"/>
                <w:bCs/>
                <w:szCs w:val="28"/>
              </w:rPr>
              <w:t>Распределение бюджетных ассигнований по разделам, подразделам, группам видов расходов классификации расходов бюджета на 2018 год»:</w:t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Cs w:val="28"/>
              </w:rPr>
            </w:pPr>
            <w:r>
              <w:rPr>
                <w:rFonts w:cs="Arial" w:ascii="Arial" w:hAnsi="Arial"/>
                <w:bCs/>
                <w:szCs w:val="28"/>
              </w:rPr>
              <w:t>тыс. рублей</w:t>
            </w:r>
          </w:p>
        </w:tc>
      </w:tr>
      <w:tr>
        <w:trPr>
          <w:trHeight w:val="264" w:hRule="atLeast"/>
        </w:trPr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4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Раздел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Подраздел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1318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4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1224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1077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145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bookmarkStart w:id="3" w:name="RANGE!C21"/>
            <w:bookmarkStart w:id="4" w:name="RANGE!C21%3AF22"/>
            <w:bookmarkEnd w:id="4"/>
            <w:r>
              <w:rPr>
                <w:rFonts w:cs="Arial" w:ascii="Arial" w:hAnsi="Arial"/>
              </w:rPr>
              <w:t>04</w:t>
            </w:r>
            <w:bookmarkEnd w:id="3"/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Резервные фонды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91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88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/>
            </w:pPr>
            <w:r>
              <w:rPr>
                <w:rFonts w:cs="Arial" w:ascii="Arial" w:hAnsi="Arial"/>
                <w:bCs/>
                <w:lang w:val="en-US"/>
              </w:rPr>
              <w:t>2</w:t>
            </w:r>
            <w:r>
              <w:rPr>
                <w:rFonts w:cs="Arial" w:ascii="Arial" w:hAnsi="Arial"/>
                <w:bCs/>
              </w:rPr>
              <w:t>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en-US"/>
              </w:rPr>
              <w:t>61</w:t>
            </w:r>
            <w:r>
              <w:rPr>
                <w:rFonts w:cs="Arial" w:ascii="Arial" w:hAnsi="Arial"/>
                <w:b/>
                <w:bCs/>
                <w:color w:val="000000"/>
              </w:rPr>
              <w:t>,</w:t>
            </w:r>
            <w:r>
              <w:rPr>
                <w:rFonts w:cs="Arial" w:ascii="Arial" w:hAnsi="Arial"/>
                <w:b/>
                <w:bCs/>
                <w:color w:val="000000"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color w:val="00000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en-US"/>
              </w:rPr>
              <w:t>61</w:t>
            </w:r>
            <w:r>
              <w:rPr>
                <w:rFonts w:cs="Arial" w:ascii="Arial" w:hAnsi="Arial"/>
                <w:b/>
                <w:bCs/>
                <w:color w:val="000000"/>
              </w:rPr>
              <w:t>,</w:t>
            </w:r>
            <w:r>
              <w:rPr>
                <w:rFonts w:cs="Arial" w:ascii="Arial" w:hAnsi="Arial"/>
                <w:b/>
                <w:bCs/>
                <w:color w:val="000000"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40,9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20,1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1426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1</w:t>
            </w:r>
          </w:p>
        </w:tc>
      </w:tr>
      <w:tr>
        <w:trPr>
          <w:trHeight w:val="612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1411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1286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1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125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34</w:t>
            </w:r>
            <w:r>
              <w:rPr>
                <w:rFonts w:cs="Arial" w:ascii="Arial" w:hAnsi="Arial"/>
                <w:b/>
                <w:bCs/>
              </w:rPr>
              <w:t>1</w:t>
            </w:r>
            <w:r>
              <w:rPr>
                <w:rFonts w:cs="Arial" w:ascii="Arial" w:hAnsi="Arial"/>
                <w:b/>
                <w:bCs/>
                <w:lang w:val="en-US"/>
              </w:rPr>
              <w:t>9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Общеэкономические вопросы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34</w:t>
            </w:r>
            <w:r>
              <w:rPr>
                <w:rFonts w:cs="Arial" w:ascii="Arial" w:hAnsi="Arial"/>
                <w:b/>
                <w:bCs/>
              </w:rPr>
              <w:t>1</w:t>
            </w:r>
            <w:r>
              <w:rPr>
                <w:rFonts w:cs="Arial" w:ascii="Arial" w:hAnsi="Arial"/>
                <w:b/>
                <w:bCs/>
                <w:lang w:val="en-US"/>
              </w:rPr>
              <w:t>1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1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34</w:t>
            </w: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  <w:lang w:val="en-US"/>
              </w:rPr>
              <w:t>1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527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Жилищное хозяйство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74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3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74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453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3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453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3260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3260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3260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765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Массовый спорт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765</w:t>
            </w:r>
            <w:r>
              <w:rPr>
                <w:rFonts w:cs="Arial" w:ascii="Arial" w:hAnsi="Arial"/>
                <w:b/>
                <w:bCs/>
              </w:rPr>
              <w:t>,</w:t>
            </w:r>
            <w:r>
              <w:rPr>
                <w:rFonts w:cs="Arial" w:ascii="Arial" w:hAnsi="Arial"/>
                <w:b/>
                <w:bCs/>
                <w:lang w:val="en-US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482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4</w:t>
            </w:r>
          </w:p>
        </w:tc>
      </w:tr>
      <w:tr>
        <w:trPr>
          <w:trHeight w:val="408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282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/>
                <w:b/>
                <w:bCs/>
                <w:szCs w:val="22"/>
                <w:lang w:val="en-US"/>
              </w:rPr>
            </w:pPr>
            <w:r>
              <w:rPr>
                <w:rFonts w:cs="Arial" w:ascii="Arial" w:hAnsi="Arial"/>
                <w:b/>
                <w:bCs/>
                <w:szCs w:val="22"/>
                <w:lang w:val="en-US"/>
              </w:rPr>
              <w:t>10</w:t>
            </w:r>
            <w:r>
              <w:rPr>
                <w:rFonts w:cs="Arial" w:ascii="Arial" w:hAnsi="Arial"/>
                <w:b/>
                <w:bCs/>
                <w:szCs w:val="22"/>
              </w:rPr>
              <w:t>78</w:t>
            </w:r>
            <w:r>
              <w:rPr>
                <w:rFonts w:cs="Arial" w:ascii="Arial" w:hAnsi="Arial"/>
                <w:b/>
                <w:bCs/>
                <w:szCs w:val="22"/>
                <w:lang w:val="en-US"/>
              </w:rPr>
              <w:t>4</w:t>
            </w:r>
            <w:r>
              <w:rPr>
                <w:rFonts w:cs="Arial" w:ascii="Arial" w:hAnsi="Arial"/>
                <w:b/>
                <w:bCs/>
                <w:szCs w:val="22"/>
              </w:rPr>
              <w:t>,</w:t>
            </w:r>
            <w:r>
              <w:rPr>
                <w:rFonts w:cs="Arial" w:ascii="Arial" w:hAnsi="Arial"/>
                <w:b/>
                <w:bCs/>
                <w:szCs w:val="22"/>
                <w:lang w:val="en-US"/>
              </w:rPr>
              <w:t>8</w:t>
            </w:r>
          </w:p>
        </w:tc>
      </w:tr>
    </w:tbl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Статья 2.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Настоящее решение вступает в силу со дня его подписания.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 Обнародовать настоящее решение в доступных для ознакомления местах и разместить на официальном сайте администрации Шарангского муниципального района Нижегородской области.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</w:t>
        <w:tab/>
        <w:tab/>
        <w:tab/>
        <w:tab/>
        <w:tab/>
        <w:tab/>
        <w:t>Н.Н.Лежнина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Style13">
    <w:name w:val="Основной текст Знак"/>
    <w:qFormat/>
    <w:rPr>
      <w:b/>
      <w:bCs/>
      <w:sz w:val="28"/>
      <w:szCs w:val="24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bCs/>
      <w:sz w:val="28"/>
      <w:lang w:val="ru-RU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3">
    <w:name w:val="Без интервала"/>
    <w:qFormat/>
    <w:pPr>
      <w:widowControl/>
      <w:jc w:val="both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121</TotalTime>
  <Application>LibreOffice/6.0.5.2$Windows_x86 LibreOffice_project/54c8cbb85f300ac59db32fe8a675ff7683cd5a16</Application>
  <Pages>25</Pages>
  <Words>3680</Words>
  <Characters>22434</Characters>
  <CharactersWithSpaces>24944</CharactersWithSpaces>
  <Paragraphs>1229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2018-06-28T17:23:00Z</dcterms:created>
  <dc:creator>Голубева</dc:creator>
  <dc:description/>
  <cp:keywords/>
  <dc:language>ru-RU</dc:language>
  <cp:lastModifiedBy>Специалист</cp:lastModifiedBy>
  <cp:lastPrinted>2018-07-03T11:44:00Z</cp:lastPrinted>
  <dcterms:modified xsi:type="dcterms:W3CDTF">2018-07-03T11:46:00Z</dcterms:modified>
  <cp:revision>32</cp:revision>
  <dc:subject/>
  <dc:title>Большеустинский сельский совет</dc:title>
</cp:coreProperties>
</file>