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отчету о результатах  мониторинга качества финансового  менеджмента, осуществляемого главными администраторами средств районного бюджета Шарангского муниципального района по состоянию за 2017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В соответствии с Постановлением администрации Шарангского района от 27.01.2012 года № 13 «Об организации проведения мониторинга качества финансового менеджмента, осуществляемого главными администраторами средств районного бюджета» и согласно представленных главными администраторами средств районного бюджета сведений для расчета показателей мониторинга качества финансового менеджмента осуществлен мониторинг пяти главных администраторов средств районного бюджета за  2017 год по следующим группам показателей: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Финансовое планирование.</w:t>
      </w:r>
    </w:p>
    <w:p>
      <w:pPr>
        <w:pStyle w:val="Normal"/>
        <w:spacing w:lineRule="auto" w:line="36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оценивались следующие показатели: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- своевременность предоставления предварительного (планового) реестра расходных обязательств;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- полнота информации о расходных обязательствах;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- сроки представления обоснований бюджетных ассигнований на очередной финансовый год;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охват в обоснованиях бюджетных ассигнований на очередной финансовый год показателями непосредственных результатов сумм ассигнований, доведенных Управлением финансов администрации Шарангского района в качестве предельных объемов ассигнований в ходе составления проекта районного бюджета;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бюджетных ассигнований, представленных в программном виде;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бюджетных ассигнований на предоставление муниципальных услуг в виде субсидий на выполнение муниципальных заданий;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сумма положительных и отрицательных изменений, внесенных в бюджетную роспись в связи с уточнением ассигнований по решению Земского собрания;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сумма положительных изменений, внесенных в бюджетную роспись в связи с передвижкам между кодами бюджетной классификации.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Своевременность и полнота информации по всем главным распорядителям бюджетных средств оценена максимально, отклонений не выявлено.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Сроки предоставления обоснований бюджетных ассигнований и охват показателей, отраженных в них главными администраторами районного бюджета оценен максимально.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оценивалась доля бюджетных ассигнований, представленных в программном виде. Максимально были оценены районный отдел образования, управление сельского хозяйства и финансовое управление, где расходы в размере 100% представлены в виде муниципальных программ, минимально – районная администрация, где данные расходы представлены в программном виде на 54,6%.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В 2017 году установлено, что максимальная доля бюджетных ассигнований на предоставление муниципальных услуг в виде субсидий на выполнение муниципальных заданий по районному отделу образования – 86,4%, минимальная – 46,1% по администрации района.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Земского собрания вносились положительные изменения по всем главным распорядителям бюджетных средств кроме управления сельского хозяйства , отрицательные изменения в бюджетную роспись вносились так же по всем главным администраторам кроме районного отдела образования. Данные ГРБС были оценены максимально высоко.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по показателю «сумма внесенных положительных изменений в бюджетную роспись в связи с передвижками между кодами бюджетной классификации» является отсутствие  передвижек. Максимально высокие показатели у районного отдела образования -98,7%, управления сельского хозяйства и управления финансов – 99,9%..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в части расходов.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Кассовое исполнение расходов оценивалось в разрезе групп ГРБС. В первой группе, как и во второй  на 100% исполнены расходы по отделу культуры и управлению сельского хозяйства соответственно. Средний процент кассового исполнения по всем главным администраторам района составил – 99,4%.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при оценке показателя «Равномерность осуществляемых расходов» является значение показателя, при котором кассовые расходы в четвертом квартале достигают менее трети годовых ассигнований. Минимально были оценены  по первой группе районный отдел образования, где расходы последнего квартала 2017 года составили 44,8%, по второй группе управление сельского хозяйства – 61,9%.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Кассовое исполнение расходов  по муниципальным программам, представленных главными распорядителями бюджетных средств, за 2017 год составило  99,6  %.  По первой группе  администраторов среднее исполнение прогнозных показателей сложилось в объеме 99,7%, по главным администраторам второй группы – 99,5%.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принятия бюджетных обязательств на поставки товаров, выполнение работ и оказание услуг для муниципальных нужд позволяет равномерно и в полном объеме исполнять предусмотренные бюджетные ассигнования. Показатель определялся как отношение суммы принятых бюджетных обязательств в соответствии с заключенными контрактами к доведенным лимитам. Максимальное значение показателя по первой группе у отдела культуры – 99,8%, по второй группе – 99,6% у финансового управления.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просроченной кредиторской задолженности по главным администраторам средств районного бюджета не выявлено.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подготовки платежных документов составил 97,9%, т.е. из 100 платежных поручений возвращается 2 по причине несоответствия  требованиям оформления заявки и подтверждающих документов. По первой группе администраторов наиболее низкое качество оформления по районному отделу образования  (95,6%), по второй группе – управлению сельского хозяйства (98,2 %).  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Уровень использования субсидий бюджетными учреждениями на выполнение муниципальных заданий  определялся только по первой группе  и за год составил 97,7%.  Наиболее высокий показатель использования субсидий сложился по учреждениям администрации 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Менее трети расходов в четвертом квартале текущего года за 2017 год не установлено не у одного главного распорядителя первой группы. Наилучший показатель у отдела культуры – 44,1%.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в части доходов.</w:t>
      </w:r>
    </w:p>
    <w:p>
      <w:pPr>
        <w:pStyle w:val="Normal"/>
        <w:spacing w:lineRule="auto" w:line="360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Качество правовой базы главного администратора доходов районного бюджета по администрированию доходов районного бюджета  за 2017 год. По каждому администратору доходов районного бюджета приняты следующие нормативные правовые акты: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закреплению полномочий главного администратора доходов (приказы, распоряжения);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порядок обмена информацией при начислении платежей, уточнения вида и принадлежности платежей, принятие решения о возврате (распоряжение);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методика расчета прогнозных значений доходных источников (распоряжение);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предоставления бухгалтерской отчетности администраторов доходов главному администратору (приказы, распоряжения).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приняты документы, которые определяют порядок заполнения (составления) первичных документов для целей ведения бухгалтерского учета по методу начисления.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мониторинга качества определения правовой базы все главные администраторы оценены на 8 баллов.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по всем администраторам доходов невыясненные поступления отсутствовали, в результате показатель «Полнота зачисления платежей в районный бюджет по главным администраторам доходов, наличие невыясненных поступлений на отчетную дату» оценены на 5 баллов;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По показателю «Отклонение кассового исполнения по доходам от прогноза» наблюдается недовыполнение поступления доходов  по администрируемым доходным источникам по администрации Шарангского муниципального района  на 44,52 %.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расчетам с дебиторами по доходам по состоянию на 1 января 2018 года отсутствует. Все администраторы, кроме управления сельского хозяйства оценены на 10 баллов.</w:t>
      </w:r>
    </w:p>
    <w:p>
      <w:pPr>
        <w:pStyle w:val="Normal"/>
        <w:spacing w:lineRule="auto" w:line="36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 Учет и отчетность.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По данной группе  оценивались: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(указания) ГРБС по реализации муниципальной учетной политики: по данному показателю все оценены на 10 баллов, так как учетная политика на 2017 год разработана у всех главных распорядителей бюджетных средств.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внедрение управленческого учета: по данному показателю все оценены на 10 баллов, так как управленческий и (или) аналитический учет, в рамках которого активы, обязательства, доходы и расходы районного бюджета учитываются, контролируются и анализируются по основным направлениям деятельности, в том числе для целей доклада о результатах и основных направлениях деятельности, закреплен в правовом акте ГРБС и внедрен в практику.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Динамика объема материальных запасов: максимальные баллы получили  отдел культуры и управление сельского хозяйства, так как  данный показатель равняются 0 и приближен к уровню инфляции соответственно.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- Коэффициент сложности бюджетных ассигнований определялся расчетным путем и отражает уровень сложности исполнения бюджетных ассигнований в зависимости от объема бюджетных назначений, предусмотренных ГРБС и количества муниципальных учреждений, находящихся в ведении ГРБС. Наибольший коэффициент сложности по первой группе у отдела культуры, по второй группе по управлению сельского хозяйства.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Контроль и аудит.</w:t>
      </w:r>
    </w:p>
    <w:p>
      <w:pPr>
        <w:pStyle w:val="Normal"/>
        <w:ind w:left="106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При составлении годового отчета и пояснительной записки бюджетополучатели предоставляют отчетность, в том числе «Сведения о результатах мероприятий внутреннего контроля». Из представленных сведений главных распорядителей бюджетных средств о проведенной инвентаризации денежных средств, материальных запасов и основных средств видно, что нарушения отсутствуют.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сведений по форме 0503176 «О недостачах и хищениях» недостач и хищений не выявлено, уровень показателя по всем главным распорядителям бюджетных средств оценен на 5 баллов.</w:t>
      </w:r>
    </w:p>
    <w:p>
      <w:pPr>
        <w:pStyle w:val="Normal"/>
        <w:spacing w:lineRule="auto" w:line="36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Исполнение судебных актов.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 бюджетных обязательств характеризует  работу ГРБС в области регулирования кредиторской задолженности. Негативным для оценки данного показателя считается высокий уровень исковых требований.  За 2017 год  исковые требования отсутствовали по всем ГРБС.</w:t>
      </w:r>
    </w:p>
    <w:p>
      <w:pPr>
        <w:pStyle w:val="Normal"/>
        <w:spacing w:lineRule="auto" w:line="36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567"/>
        <w:jc w:val="center"/>
        <w:rPr/>
      </w:pPr>
      <w:r>
        <w:rPr>
          <w:b/>
          <w:sz w:val="28"/>
          <w:szCs w:val="28"/>
        </w:rPr>
        <w:t>Итоги анализа и оценки результатов мониторинга качества финансового менеджмента за  2017 год.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Наилучшие показатели качества финансового менеджмента отмечаются у следующих главных администраторов средств районного бюджета:</w:t>
      </w:r>
    </w:p>
    <w:p>
      <w:pPr>
        <w:pStyle w:val="Style20"/>
        <w:spacing w:lineRule="auto" w:line="36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По первой группе – среди главных администраторов, в ведении которых находятся казенные учреждения и являющихся учредителями бюджетных  учреждений: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 Администрации Шарангского района;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 второй группе – среди главных администраторов, финансовое обеспечение которых осуществляется по бюджетной смете, и не являющихся учредителями бюджетных и автономных учреждений: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управление.</w:t>
      </w:r>
    </w:p>
    <w:p>
      <w:pPr>
        <w:pStyle w:val="Normal"/>
        <w:spacing w:lineRule="auto" w:line="360"/>
        <w:ind w:left="142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1428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decimal"/>
      <w:lvlText w:val="%1.%2."/>
      <w:lvlJc w:val="left"/>
      <w:pPr>
        <w:ind w:left="1428" w:hanging="720"/>
      </w:pPr>
      <w:rPr/>
    </w:lvl>
    <w:lvl w:ilvl="2">
      <w:start w:val="1"/>
      <w:numFmt w:val="decimal"/>
      <w:lvlText w:val="%1.%2.%3."/>
      <w:lvlJc w:val="left"/>
      <w:pPr>
        <w:ind w:left="1428" w:hanging="720"/>
      </w:pPr>
      <w:rPr/>
    </w:lvl>
    <w:lvl w:ilvl="3">
      <w:start w:val="1"/>
      <w:numFmt w:val="decimal"/>
      <w:lvlText w:val="%1.%2.%3.%4."/>
      <w:lvlJc w:val="left"/>
      <w:pPr>
        <w:ind w:left="1788" w:hanging="1080"/>
      </w:pPr>
      <w:rPr/>
    </w:lvl>
    <w:lvl w:ilvl="4">
      <w:start w:val="1"/>
      <w:numFmt w:val="decimal"/>
      <w:lvlText w:val="%1.%2.%3.%4.%5."/>
      <w:lvlJc w:val="left"/>
      <w:pPr>
        <w:ind w:left="1788" w:hanging="1080"/>
      </w:pPr>
      <w:rPr/>
    </w:lvl>
    <w:lvl w:ilvl="5">
      <w:start w:val="1"/>
      <w:numFmt w:val="decimal"/>
      <w:lvlText w:val="%1.%2.%3.%4.%5.%6."/>
      <w:lvlJc w:val="left"/>
      <w:pPr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ind w:left="2868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806</TotalTime>
  <Application>LibreOffice/6.0.1.1$Windows_X86_64 LibreOffice_project/60bfb1526849283ce2491346ed2aa51c465abfe6</Application>
  <Pages>3</Pages>
  <Words>1232</Words>
  <Characters>8947</Characters>
  <CharactersWithSpaces>10172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2016-04-29T09:34:00Z</dcterms:created>
  <dc:creator>Администратор</dc:creator>
  <dc:description/>
  <cp:keywords/>
  <dc:language>ru-RU</dc:language>
  <cp:lastModifiedBy>Демина</cp:lastModifiedBy>
  <cp:lastPrinted>2017-10-23T13:32:00Z</cp:lastPrinted>
  <dcterms:modified xsi:type="dcterms:W3CDTF">2018-03-01T07:44:00Z</dcterms:modified>
  <cp:revision>24</cp:revision>
  <dc:subject/>
  <dc:title>Информация</dc:title>
</cp:coreProperties>
</file>